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AE962" w14:textId="77777777" w:rsidR="00CB00DF" w:rsidRPr="00D02834" w:rsidRDefault="00CB00DF" w:rsidP="00554B02">
      <w:pPr>
        <w:jc w:val="center"/>
        <w:rPr>
          <w:rFonts w:ascii="黑体" w:eastAsia="黑体" w:hAnsi="黑体"/>
          <w:sz w:val="36"/>
          <w:szCs w:val="36"/>
        </w:rPr>
      </w:pPr>
      <w:r w:rsidRPr="00D02834">
        <w:rPr>
          <w:rFonts w:ascii="黑体" w:eastAsia="黑体" w:hAnsi="黑体"/>
          <w:sz w:val="36"/>
          <w:szCs w:val="36"/>
        </w:rPr>
        <w:t>经营者集中简易案件公示表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1384"/>
        <w:gridCol w:w="5103"/>
      </w:tblGrid>
      <w:tr w:rsidR="003C0F31" w:rsidRPr="00003810" w14:paraId="3CEC5701" w14:textId="77777777" w:rsidTr="00F336FC">
        <w:tc>
          <w:tcPr>
            <w:tcW w:w="1730" w:type="dxa"/>
            <w:shd w:val="clear" w:color="auto" w:fill="D9D9D9"/>
            <w:vAlign w:val="center"/>
          </w:tcPr>
          <w:p w14:paraId="5C282CCA" w14:textId="77777777" w:rsidR="00CB00DF" w:rsidRPr="00003810" w:rsidRDefault="00CB00DF" w:rsidP="00554B02">
            <w:pPr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003810"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案件名称</w:t>
            </w:r>
          </w:p>
        </w:tc>
        <w:tc>
          <w:tcPr>
            <w:tcW w:w="6487" w:type="dxa"/>
            <w:gridSpan w:val="2"/>
          </w:tcPr>
          <w:p w14:paraId="0C4B3992" w14:textId="74CB99DE" w:rsidR="00CB00DF" w:rsidRPr="00003810" w:rsidRDefault="007433D6" w:rsidP="007207FB">
            <w:pPr>
              <w:snapToGrid w:val="0"/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7433D6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阿布扎比港务局收购 Noatum 控股公司股权案</w:t>
            </w:r>
          </w:p>
        </w:tc>
      </w:tr>
      <w:tr w:rsidR="003C0F31" w:rsidRPr="00003810" w14:paraId="6A67DDE1" w14:textId="77777777" w:rsidTr="00F336FC">
        <w:trPr>
          <w:trHeight w:val="993"/>
        </w:trPr>
        <w:tc>
          <w:tcPr>
            <w:tcW w:w="1730" w:type="dxa"/>
            <w:shd w:val="clear" w:color="auto" w:fill="D9D9D9"/>
            <w:vAlign w:val="center"/>
          </w:tcPr>
          <w:p w14:paraId="51D28758" w14:textId="77777777" w:rsidR="00F1624E" w:rsidRPr="00003810" w:rsidRDefault="00CB00DF" w:rsidP="00554B02">
            <w:pPr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003810"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交易概况</w:t>
            </w:r>
          </w:p>
          <w:p w14:paraId="149F2DD6" w14:textId="77777777" w:rsidR="00CB00DF" w:rsidRPr="00003810" w:rsidRDefault="00CB00DF" w:rsidP="00554B02">
            <w:pPr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003810"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（限200字内）</w:t>
            </w:r>
          </w:p>
        </w:tc>
        <w:tc>
          <w:tcPr>
            <w:tcW w:w="6487" w:type="dxa"/>
            <w:gridSpan w:val="2"/>
          </w:tcPr>
          <w:p w14:paraId="108260C4" w14:textId="6E9AE188" w:rsidR="007433D6" w:rsidRPr="007433D6" w:rsidRDefault="007433D6" w:rsidP="007433D6">
            <w:pPr>
              <w:snapToGrid w:val="0"/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7433D6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阿布扎比港务局与</w:t>
            </w:r>
            <w:r w:rsidRPr="007433D6"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Turia Ports Management Investments (CV)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（“</w:t>
            </w:r>
            <w:r w:rsidRPr="007433D6">
              <w:rPr>
                <w:rFonts w:ascii="宋体" w:hAnsi="宋体" w:hint="eastAsia"/>
                <w:b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TPM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”）</w:t>
            </w:r>
            <w:r w:rsidRPr="007433D6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签订协议，向TPM收购Noatum 控股公司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（“</w:t>
            </w:r>
            <w:r w:rsidRPr="007433D6">
              <w:rPr>
                <w:rFonts w:ascii="宋体" w:hAnsi="宋体" w:hint="eastAsia"/>
                <w:b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Noatum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”）</w:t>
            </w:r>
            <w:r w:rsidRPr="007433D6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的全部已发行和拟发行股本。</w:t>
            </w:r>
          </w:p>
          <w:p w14:paraId="74C70B7A" w14:textId="77777777" w:rsidR="007433D6" w:rsidRPr="007433D6" w:rsidRDefault="007433D6" w:rsidP="007433D6">
            <w:pPr>
              <w:snapToGrid w:val="0"/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  <w:p w14:paraId="39AE2FAD" w14:textId="49A2BED3" w:rsidR="00CB00DF" w:rsidRPr="00003810" w:rsidRDefault="007433D6" w:rsidP="007433D6">
            <w:pPr>
              <w:snapToGrid w:val="0"/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7433D6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在本次交易前，TPM单独控制Noatum。在本次交易后，阿布扎比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港务局</w:t>
            </w:r>
            <w:r w:rsidRPr="007433D6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将单独控制Noatum。</w:t>
            </w:r>
          </w:p>
        </w:tc>
      </w:tr>
      <w:tr w:rsidR="003C0F31" w:rsidRPr="00003810" w14:paraId="35D332F4" w14:textId="77777777" w:rsidTr="007D12C0">
        <w:trPr>
          <w:trHeight w:val="468"/>
        </w:trPr>
        <w:tc>
          <w:tcPr>
            <w:tcW w:w="1730" w:type="dxa"/>
            <w:vMerge w:val="restart"/>
            <w:shd w:val="clear" w:color="auto" w:fill="D9D9D9"/>
            <w:vAlign w:val="center"/>
          </w:tcPr>
          <w:p w14:paraId="2DB7FF5E" w14:textId="77777777" w:rsidR="00F1624E" w:rsidRPr="00003810" w:rsidRDefault="00CB00DF" w:rsidP="00554B02">
            <w:pPr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003810"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参与集中的</w:t>
            </w:r>
          </w:p>
          <w:p w14:paraId="06CC91F1" w14:textId="77777777" w:rsidR="00CB00DF" w:rsidRPr="00003810" w:rsidRDefault="00CB00DF" w:rsidP="00554B02">
            <w:pPr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003810"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经营者简介</w:t>
            </w:r>
          </w:p>
        </w:tc>
        <w:tc>
          <w:tcPr>
            <w:tcW w:w="1384" w:type="dxa"/>
            <w:vAlign w:val="center"/>
          </w:tcPr>
          <w:p w14:paraId="71078764" w14:textId="18620A2F" w:rsidR="00CB00DF" w:rsidRPr="00003810" w:rsidRDefault="00CB00DF" w:rsidP="003A528C">
            <w:pPr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003810"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1、</w:t>
            </w:r>
            <w:r w:rsidR="007433D6" w:rsidRPr="007433D6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阿布扎比港务局</w:t>
            </w:r>
          </w:p>
        </w:tc>
        <w:tc>
          <w:tcPr>
            <w:tcW w:w="5103" w:type="dxa"/>
          </w:tcPr>
          <w:p w14:paraId="48E1F40D" w14:textId="4378E692" w:rsidR="007433D6" w:rsidRDefault="007433D6" w:rsidP="007433D6">
            <w:pPr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阿布扎比港务局于2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006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年于</w:t>
            </w:r>
            <w:r w:rsidR="00666BE3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阿拉伯联合酋长国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设立，于</w:t>
            </w:r>
            <w:r w:rsidRPr="007433D6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阿布扎比证券交易所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上市。</w:t>
            </w:r>
            <w:r w:rsidRPr="007433D6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阿布扎比港务局为贸易、物流和运输提供支持，在阿联酋运营十座港口和码头，并在埃及运营港口设施。</w:t>
            </w:r>
          </w:p>
          <w:p w14:paraId="1F5C5FC8" w14:textId="10324057" w:rsidR="00D1722B" w:rsidRPr="00003810" w:rsidRDefault="007433D6" w:rsidP="00666BE3">
            <w:pPr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7433D6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阿布扎比港务局</w:t>
            </w:r>
            <w:r w:rsidR="00666BE3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最终控制人是阿布扎比</w:t>
            </w:r>
            <w:r w:rsidR="00666BE3" w:rsidRPr="00666BE3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发展控股</w:t>
            </w:r>
            <w:r w:rsidR="00666BE3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公司</w:t>
            </w:r>
            <w:r w:rsidR="00666BE3" w:rsidRPr="00666BE3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，是区域内最大的控股公司之一，在阿布扎比各经济领域拥有直接或间接投资，包括食品和农业、航空、金融服务、医疗健康、工业、物流、媒体、房地产、旅游业和酒店业、运输和公用事业。</w:t>
            </w:r>
          </w:p>
        </w:tc>
      </w:tr>
      <w:tr w:rsidR="003C0F31" w:rsidRPr="00003810" w14:paraId="63695C14" w14:textId="77777777" w:rsidTr="007D12C0">
        <w:trPr>
          <w:trHeight w:val="404"/>
        </w:trPr>
        <w:tc>
          <w:tcPr>
            <w:tcW w:w="1730" w:type="dxa"/>
            <w:vMerge/>
            <w:shd w:val="clear" w:color="auto" w:fill="D9D9D9"/>
            <w:vAlign w:val="center"/>
          </w:tcPr>
          <w:p w14:paraId="0256966F" w14:textId="77777777" w:rsidR="00CB00DF" w:rsidRPr="00003810" w:rsidRDefault="00CB00DF" w:rsidP="00554B02">
            <w:pPr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84" w:type="dxa"/>
            <w:vAlign w:val="center"/>
          </w:tcPr>
          <w:p w14:paraId="4ED5C0FE" w14:textId="2FB3D3D2" w:rsidR="00CB00DF" w:rsidRPr="00003810" w:rsidRDefault="00CB00DF" w:rsidP="00666BE3">
            <w:pPr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003810"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2、</w:t>
            </w:r>
            <w:r w:rsidR="00666BE3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Noatum</w:t>
            </w:r>
          </w:p>
        </w:tc>
        <w:tc>
          <w:tcPr>
            <w:tcW w:w="5103" w:type="dxa"/>
          </w:tcPr>
          <w:p w14:paraId="125DFB80" w14:textId="77777777" w:rsidR="006B3937" w:rsidRDefault="00666BE3" w:rsidP="00666BE3">
            <w:pPr>
              <w:rPr>
                <w:rFonts w:ascii="宋体" w:hAnsi="宋体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  <w:lang w:val="en-GB"/>
              </w:rPr>
              <w:t>N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:lang w:val="en-GB"/>
              </w:rPr>
              <w:t>oatum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  <w:lang w:val="en-GB"/>
              </w:rPr>
              <w:t>于2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:lang w:val="en-GB"/>
              </w:rPr>
              <w:t>010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  <w:lang w:val="en-GB"/>
              </w:rPr>
              <w:t>年于西班牙设立，</w:t>
            </w:r>
            <w:r w:rsidRPr="00666BE3">
              <w:rPr>
                <w:rFonts w:ascii="宋体" w:hAnsi="宋体" w:hint="eastAsia"/>
                <w:color w:val="000000" w:themeColor="text1"/>
                <w:sz w:val="24"/>
                <w:szCs w:val="24"/>
                <w:lang w:val="en-GB"/>
              </w:rPr>
              <w:t>是一家全球综合物流解决方案提供商，业务涵盖端到端供应链，在20多个司法管辖区内通过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  <w:lang w:val="en-GB"/>
              </w:rPr>
              <w:t>物流、海事、码头</w:t>
            </w:r>
            <w:r w:rsidRPr="00666BE3">
              <w:rPr>
                <w:rFonts w:ascii="宋体" w:hAnsi="宋体" w:hint="eastAsia"/>
                <w:color w:val="000000" w:themeColor="text1"/>
                <w:sz w:val="24"/>
                <w:szCs w:val="24"/>
                <w:lang w:val="en-GB"/>
              </w:rPr>
              <w:t>三个事业部开展经营。</w:t>
            </w:r>
          </w:p>
          <w:p w14:paraId="00FF7648" w14:textId="78AABEC4" w:rsidR="00666BE3" w:rsidRPr="00003810" w:rsidRDefault="00666BE3" w:rsidP="00666BE3">
            <w:pPr>
              <w:rPr>
                <w:rFonts w:ascii="宋体" w:hAnsi="宋体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  <w:lang w:val="en-GB"/>
              </w:rPr>
              <w:t>Noatum最终控制人是</w:t>
            </w:r>
            <w:r w:rsidRPr="00666BE3">
              <w:rPr>
                <w:rFonts w:ascii="宋体" w:hAnsi="宋体"/>
                <w:color w:val="000000" w:themeColor="text1"/>
                <w:sz w:val="24"/>
                <w:szCs w:val="24"/>
                <w:lang w:val="en-GB"/>
              </w:rPr>
              <w:t>IIF Int'l Holding GP, LLC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  <w:lang w:val="en-GB"/>
              </w:rPr>
              <w:t>，主要从事基础</w:t>
            </w:r>
            <w:r w:rsidR="008A1091">
              <w:rPr>
                <w:rFonts w:ascii="宋体" w:hAnsi="宋体" w:hint="eastAsia"/>
                <w:color w:val="000000" w:themeColor="text1"/>
                <w:sz w:val="24"/>
                <w:szCs w:val="24"/>
                <w:lang w:val="en-GB"/>
              </w:rPr>
              <w:t>设施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  <w:lang w:val="en-GB"/>
              </w:rPr>
              <w:t>及其相关资产的投资。</w:t>
            </w:r>
          </w:p>
        </w:tc>
      </w:tr>
      <w:tr w:rsidR="003C0F31" w:rsidRPr="00003810" w14:paraId="4ADA4332" w14:textId="77777777" w:rsidTr="00F336FC">
        <w:trPr>
          <w:trHeight w:val="279"/>
        </w:trPr>
        <w:tc>
          <w:tcPr>
            <w:tcW w:w="1730" w:type="dxa"/>
            <w:vMerge w:val="restart"/>
            <w:shd w:val="clear" w:color="auto" w:fill="D9D9D9"/>
            <w:vAlign w:val="center"/>
          </w:tcPr>
          <w:p w14:paraId="5BFE66BF" w14:textId="77777777" w:rsidR="00CB00DF" w:rsidRPr="00003810" w:rsidRDefault="00CB00DF" w:rsidP="00554B02">
            <w:pPr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003810"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简易案件理由（可以单选，也可以多选）</w:t>
            </w:r>
          </w:p>
        </w:tc>
        <w:tc>
          <w:tcPr>
            <w:tcW w:w="6487" w:type="dxa"/>
            <w:gridSpan w:val="2"/>
          </w:tcPr>
          <w:p w14:paraId="49B89FE0" w14:textId="77777777" w:rsidR="00CB00DF" w:rsidRPr="00003810" w:rsidRDefault="00347CDD" w:rsidP="00E9040C">
            <w:pPr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003810"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sym w:font="Wingdings" w:char="F0A8"/>
            </w:r>
            <w:r w:rsidR="00CB00DF" w:rsidRPr="00003810"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1.在同一相关市场，所有参与集中的经营者所占市场份额之和小于15%。</w:t>
            </w:r>
          </w:p>
        </w:tc>
      </w:tr>
      <w:tr w:rsidR="003C0F31" w:rsidRPr="00003810" w14:paraId="0757D374" w14:textId="77777777" w:rsidTr="00F336FC">
        <w:trPr>
          <w:trHeight w:val="330"/>
        </w:trPr>
        <w:tc>
          <w:tcPr>
            <w:tcW w:w="1730" w:type="dxa"/>
            <w:vMerge/>
            <w:shd w:val="clear" w:color="auto" w:fill="D9D9D9"/>
            <w:vAlign w:val="center"/>
          </w:tcPr>
          <w:p w14:paraId="3250A171" w14:textId="77777777" w:rsidR="00CB00DF" w:rsidRPr="00003810" w:rsidRDefault="00CB00DF" w:rsidP="00554B02">
            <w:pPr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487" w:type="dxa"/>
            <w:gridSpan w:val="2"/>
          </w:tcPr>
          <w:p w14:paraId="5A4E4271" w14:textId="7185FD94" w:rsidR="00CB00DF" w:rsidRPr="00003810" w:rsidRDefault="00DD01D9" w:rsidP="00554B02">
            <w:pPr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003810"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sym w:font="Wingdings" w:char="F0FE"/>
            </w:r>
            <w:r w:rsidR="00CB00DF" w:rsidRPr="00003810"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2.存在上下游关系的参与集中的经营者，在上下游市场所占的市场份额均小于25%。</w:t>
            </w:r>
          </w:p>
        </w:tc>
      </w:tr>
      <w:tr w:rsidR="003C0F31" w:rsidRPr="00003810" w14:paraId="35F366DE" w14:textId="77777777" w:rsidTr="00F336FC">
        <w:trPr>
          <w:trHeight w:val="285"/>
        </w:trPr>
        <w:tc>
          <w:tcPr>
            <w:tcW w:w="1730" w:type="dxa"/>
            <w:vMerge/>
            <w:shd w:val="clear" w:color="auto" w:fill="D9D9D9"/>
            <w:vAlign w:val="center"/>
          </w:tcPr>
          <w:p w14:paraId="4F57B9EB" w14:textId="77777777" w:rsidR="00CB00DF" w:rsidRPr="00003810" w:rsidRDefault="00CB00DF" w:rsidP="00554B02">
            <w:pPr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487" w:type="dxa"/>
            <w:gridSpan w:val="2"/>
          </w:tcPr>
          <w:p w14:paraId="73844FB9" w14:textId="77777777" w:rsidR="00CB00DF" w:rsidRPr="00003810" w:rsidRDefault="00E9040C" w:rsidP="00554B02">
            <w:pPr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003810"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sym w:font="Wingdings" w:char="F0A8"/>
            </w:r>
            <w:r w:rsidR="00CB00DF" w:rsidRPr="00003810"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3.不在同一相关市场、也不存在上下游关系的参与集中的经营者，在与交易有关的每个市场所占的份额均小于25%。</w:t>
            </w:r>
          </w:p>
        </w:tc>
      </w:tr>
      <w:tr w:rsidR="003C0F31" w:rsidRPr="00003810" w14:paraId="51629C89" w14:textId="77777777" w:rsidTr="00347CDD">
        <w:trPr>
          <w:trHeight w:val="621"/>
        </w:trPr>
        <w:tc>
          <w:tcPr>
            <w:tcW w:w="1730" w:type="dxa"/>
            <w:vMerge/>
            <w:shd w:val="clear" w:color="auto" w:fill="D9D9D9"/>
            <w:vAlign w:val="center"/>
          </w:tcPr>
          <w:p w14:paraId="55BE1376" w14:textId="77777777" w:rsidR="00CB00DF" w:rsidRPr="00003810" w:rsidRDefault="00CB00DF" w:rsidP="00554B02">
            <w:pPr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487" w:type="dxa"/>
            <w:gridSpan w:val="2"/>
          </w:tcPr>
          <w:p w14:paraId="77FD7446" w14:textId="6845C16F" w:rsidR="00CB00DF" w:rsidRPr="00003810" w:rsidRDefault="00DD01D9" w:rsidP="00BB4FB9">
            <w:pPr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003810"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sym w:font="Wingdings" w:char="F0A8"/>
            </w:r>
            <w:r w:rsidR="00CB00DF" w:rsidRPr="00003810"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4.参与集中的经营者在中国境外设立合营企业，合营企业不在中国境内从事经济活动。</w:t>
            </w:r>
          </w:p>
        </w:tc>
      </w:tr>
      <w:tr w:rsidR="003C0F31" w:rsidRPr="00003810" w14:paraId="59E80FDE" w14:textId="77777777" w:rsidTr="00F336FC">
        <w:trPr>
          <w:trHeight w:val="264"/>
        </w:trPr>
        <w:tc>
          <w:tcPr>
            <w:tcW w:w="1730" w:type="dxa"/>
            <w:vMerge/>
            <w:shd w:val="clear" w:color="auto" w:fill="D9D9D9"/>
            <w:vAlign w:val="center"/>
          </w:tcPr>
          <w:p w14:paraId="4F1C1E64" w14:textId="77777777" w:rsidR="00CB00DF" w:rsidRPr="00003810" w:rsidRDefault="00CB00DF" w:rsidP="00554B02">
            <w:pPr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487" w:type="dxa"/>
            <w:gridSpan w:val="2"/>
          </w:tcPr>
          <w:p w14:paraId="04C6CE61" w14:textId="77777777" w:rsidR="00CB00DF" w:rsidRPr="00003810" w:rsidRDefault="00BB4FB9" w:rsidP="00554B02">
            <w:pPr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003810"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sym w:font="Wingdings" w:char="F0A8"/>
            </w:r>
            <w:r w:rsidR="00CB00DF" w:rsidRPr="00003810"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5.参与集中的经营者收购境外企业股权或资产的，该境外企业不在中国境内从事经济活动。</w:t>
            </w:r>
          </w:p>
        </w:tc>
      </w:tr>
      <w:tr w:rsidR="003C0F31" w:rsidRPr="00003810" w14:paraId="69D5A978" w14:textId="77777777" w:rsidTr="00F336FC">
        <w:trPr>
          <w:trHeight w:val="345"/>
        </w:trPr>
        <w:tc>
          <w:tcPr>
            <w:tcW w:w="1730" w:type="dxa"/>
            <w:vMerge/>
            <w:shd w:val="clear" w:color="auto" w:fill="D9D9D9"/>
            <w:vAlign w:val="center"/>
          </w:tcPr>
          <w:p w14:paraId="36B58D11" w14:textId="77777777" w:rsidR="00CB00DF" w:rsidRPr="00003810" w:rsidRDefault="00CB00DF" w:rsidP="00554B02">
            <w:pPr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487" w:type="dxa"/>
            <w:gridSpan w:val="2"/>
          </w:tcPr>
          <w:p w14:paraId="6DF1A1B6" w14:textId="77777777" w:rsidR="00CB00DF" w:rsidRPr="00003810" w:rsidRDefault="00BB4FB9" w:rsidP="00554B02">
            <w:pPr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003810"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sym w:font="Wingdings" w:char="F0A8"/>
            </w:r>
            <w:r w:rsidR="00CB00DF" w:rsidRPr="00003810"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6.由两个以上的经营者共同控制的合营企业，通过集中被其中一个或一个以上经营者控制。</w:t>
            </w:r>
          </w:p>
        </w:tc>
      </w:tr>
      <w:tr w:rsidR="003C0F31" w:rsidRPr="00003810" w14:paraId="273CDA08" w14:textId="77777777" w:rsidTr="00F336FC">
        <w:tc>
          <w:tcPr>
            <w:tcW w:w="1730" w:type="dxa"/>
            <w:shd w:val="clear" w:color="auto" w:fill="D9D9D9"/>
            <w:vAlign w:val="center"/>
          </w:tcPr>
          <w:p w14:paraId="44D33F3A" w14:textId="77777777" w:rsidR="00CB00DF" w:rsidRPr="00003810" w:rsidRDefault="00CB00DF" w:rsidP="00554B02">
            <w:pPr>
              <w:jc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003810"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备注</w:t>
            </w:r>
          </w:p>
        </w:tc>
        <w:tc>
          <w:tcPr>
            <w:tcW w:w="6487" w:type="dxa"/>
            <w:gridSpan w:val="2"/>
          </w:tcPr>
          <w:p w14:paraId="2FAE1D28" w14:textId="618A599D" w:rsidR="00B10DBD" w:rsidRPr="00197E5E" w:rsidRDefault="00197E5E" w:rsidP="00122E7F">
            <w:pPr>
              <w:rPr>
                <w:rFonts w:ascii="宋体" w:hAnsi="宋体"/>
                <w:b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197E5E">
              <w:rPr>
                <w:rFonts w:ascii="宋体" w:hAnsi="宋体" w:hint="eastAsia"/>
                <w:b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纵向关联</w:t>
            </w:r>
            <w:r w:rsidR="00DD01D9" w:rsidRPr="00197E5E">
              <w:rPr>
                <w:rFonts w:ascii="宋体" w:hAnsi="宋体" w:hint="eastAsia"/>
                <w:b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：</w:t>
            </w:r>
          </w:p>
          <w:p w14:paraId="2D198B16" w14:textId="4AE47BA1" w:rsidR="00DD01D9" w:rsidRDefault="00DD01D9" w:rsidP="00122E7F">
            <w:pPr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上游：</w:t>
            </w:r>
            <w:r w:rsidR="00197E5E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="00197E5E"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021</w:t>
            </w:r>
            <w:r w:rsidR="00197E5E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年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全球干散货远洋运输</w:t>
            </w:r>
            <w:r w:rsidR="001C3870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服务</w:t>
            </w:r>
            <w:bookmarkStart w:id="0" w:name="_GoBack"/>
            <w:bookmarkEnd w:id="0"/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市场</w:t>
            </w:r>
          </w:p>
          <w:p w14:paraId="3DAD55AA" w14:textId="77777777" w:rsidR="00DD01D9" w:rsidRDefault="00DD01D9" w:rsidP="00122E7F">
            <w:pPr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阿布扎比港务局：0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-5%</w:t>
            </w:r>
          </w:p>
          <w:p w14:paraId="5743FFF1" w14:textId="7F40CB9E" w:rsidR="00DD01D9" w:rsidRDefault="00DD01D9" w:rsidP="00122E7F">
            <w:pPr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下游：</w:t>
            </w:r>
            <w:r w:rsidR="00197E5E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202</w:t>
            </w:r>
            <w:r w:rsidR="00197E5E"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 w:rsidR="00197E5E" w:rsidRPr="00197E5E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年中国境内国际货运代理</w:t>
            </w:r>
            <w:r w:rsidR="002D5D1C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服务</w:t>
            </w:r>
            <w:r w:rsidR="00197E5E" w:rsidRPr="00197E5E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市场</w:t>
            </w:r>
          </w:p>
          <w:p w14:paraId="772D7DB7" w14:textId="35747B56" w:rsidR="00DD01D9" w:rsidRPr="00003810" w:rsidRDefault="00DD01D9" w:rsidP="00122E7F">
            <w:pPr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Noatum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:</w:t>
            </w:r>
            <w:r w:rsidR="00197E5E">
              <w:rPr>
                <w:rFonts w:ascii="宋体" w:hAnsi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0-5%</w:t>
            </w:r>
          </w:p>
        </w:tc>
      </w:tr>
    </w:tbl>
    <w:p w14:paraId="648524D1" w14:textId="77777777" w:rsidR="000F5E24" w:rsidRPr="007E11AE" w:rsidRDefault="0024788E" w:rsidP="00554B02">
      <w:pPr>
        <w:rPr>
          <w:rFonts w:ascii="Times New Roman" w:hAnsi="Times New Roman"/>
        </w:rPr>
      </w:pPr>
    </w:p>
    <w:sectPr w:rsidR="000F5E24" w:rsidRPr="007E11AE" w:rsidSect="00ED21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0CC80" w14:textId="77777777" w:rsidR="00CD6E31" w:rsidRDefault="00CD6E31" w:rsidP="002B7EA6">
      <w:r>
        <w:separator/>
      </w:r>
    </w:p>
  </w:endnote>
  <w:endnote w:type="continuationSeparator" w:id="0">
    <w:p w14:paraId="60DB080D" w14:textId="77777777" w:rsidR="00CD6E31" w:rsidRDefault="00CD6E31" w:rsidP="002B7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27874" w14:textId="77777777" w:rsidR="004C5266" w:rsidRDefault="004C52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ECA1A" w14:textId="77777777" w:rsidR="004C5266" w:rsidRDefault="004C52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49295" w14:textId="77777777" w:rsidR="004C5266" w:rsidRDefault="004C52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84BF5" w14:textId="77777777" w:rsidR="00CD6E31" w:rsidRDefault="00CD6E31" w:rsidP="002B7EA6">
      <w:r>
        <w:separator/>
      </w:r>
    </w:p>
  </w:footnote>
  <w:footnote w:type="continuationSeparator" w:id="0">
    <w:p w14:paraId="3300A375" w14:textId="77777777" w:rsidR="00CD6E31" w:rsidRDefault="00CD6E31" w:rsidP="002B7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36049" w14:textId="77777777" w:rsidR="004C5266" w:rsidRDefault="004C52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CC19E" w14:textId="77777777" w:rsidR="004C5266" w:rsidRDefault="004C52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4A553" w14:textId="77777777" w:rsidR="004C5266" w:rsidRDefault="004C52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DF"/>
    <w:rsid w:val="00003810"/>
    <w:rsid w:val="00005CBC"/>
    <w:rsid w:val="00022441"/>
    <w:rsid w:val="00037065"/>
    <w:rsid w:val="00050BF4"/>
    <w:rsid w:val="00082B3E"/>
    <w:rsid w:val="00087411"/>
    <w:rsid w:val="000B7A5A"/>
    <w:rsid w:val="000D35D8"/>
    <w:rsid w:val="000D650F"/>
    <w:rsid w:val="000D7EBA"/>
    <w:rsid w:val="000E2E28"/>
    <w:rsid w:val="000E34B9"/>
    <w:rsid w:val="0010048D"/>
    <w:rsid w:val="001031AB"/>
    <w:rsid w:val="001164CD"/>
    <w:rsid w:val="00122E7F"/>
    <w:rsid w:val="001461BB"/>
    <w:rsid w:val="00155717"/>
    <w:rsid w:val="001837A3"/>
    <w:rsid w:val="00197E5E"/>
    <w:rsid w:val="001C3870"/>
    <w:rsid w:val="001C692C"/>
    <w:rsid w:val="001E4187"/>
    <w:rsid w:val="0024788E"/>
    <w:rsid w:val="002A4976"/>
    <w:rsid w:val="002B7EA6"/>
    <w:rsid w:val="002D5D1C"/>
    <w:rsid w:val="002D6FF0"/>
    <w:rsid w:val="0031643E"/>
    <w:rsid w:val="00347CDD"/>
    <w:rsid w:val="00351604"/>
    <w:rsid w:val="00375E19"/>
    <w:rsid w:val="003A1A0D"/>
    <w:rsid w:val="003A528C"/>
    <w:rsid w:val="003A5E04"/>
    <w:rsid w:val="003C0AEB"/>
    <w:rsid w:val="003C0F31"/>
    <w:rsid w:val="003D6C64"/>
    <w:rsid w:val="003E3EA1"/>
    <w:rsid w:val="004009B7"/>
    <w:rsid w:val="004118DF"/>
    <w:rsid w:val="00482832"/>
    <w:rsid w:val="0048349A"/>
    <w:rsid w:val="004908E3"/>
    <w:rsid w:val="0049387F"/>
    <w:rsid w:val="00496055"/>
    <w:rsid w:val="004C3993"/>
    <w:rsid w:val="004C5266"/>
    <w:rsid w:val="004E7374"/>
    <w:rsid w:val="004F0673"/>
    <w:rsid w:val="004F7688"/>
    <w:rsid w:val="00501CED"/>
    <w:rsid w:val="005022BA"/>
    <w:rsid w:val="00533163"/>
    <w:rsid w:val="00545B2E"/>
    <w:rsid w:val="00554B02"/>
    <w:rsid w:val="005632C0"/>
    <w:rsid w:val="005703C2"/>
    <w:rsid w:val="00572E55"/>
    <w:rsid w:val="005835A4"/>
    <w:rsid w:val="005908B9"/>
    <w:rsid w:val="005B2151"/>
    <w:rsid w:val="005B5517"/>
    <w:rsid w:val="0060331B"/>
    <w:rsid w:val="006467D8"/>
    <w:rsid w:val="00646864"/>
    <w:rsid w:val="00651D33"/>
    <w:rsid w:val="00652E2B"/>
    <w:rsid w:val="00666BE3"/>
    <w:rsid w:val="006808AE"/>
    <w:rsid w:val="006A531B"/>
    <w:rsid w:val="006B3937"/>
    <w:rsid w:val="006F4C28"/>
    <w:rsid w:val="006F7693"/>
    <w:rsid w:val="00710140"/>
    <w:rsid w:val="0071220D"/>
    <w:rsid w:val="00717A11"/>
    <w:rsid w:val="007207FB"/>
    <w:rsid w:val="007433D6"/>
    <w:rsid w:val="00752DEE"/>
    <w:rsid w:val="00767409"/>
    <w:rsid w:val="00770D7C"/>
    <w:rsid w:val="007757FE"/>
    <w:rsid w:val="00782193"/>
    <w:rsid w:val="00791095"/>
    <w:rsid w:val="00792C21"/>
    <w:rsid w:val="007A2BC9"/>
    <w:rsid w:val="007A36B6"/>
    <w:rsid w:val="007B6071"/>
    <w:rsid w:val="007C0D5B"/>
    <w:rsid w:val="007D12C0"/>
    <w:rsid w:val="007E11AE"/>
    <w:rsid w:val="007F2275"/>
    <w:rsid w:val="00806960"/>
    <w:rsid w:val="00815EDA"/>
    <w:rsid w:val="0089067D"/>
    <w:rsid w:val="008A1091"/>
    <w:rsid w:val="008A3A80"/>
    <w:rsid w:val="008F6490"/>
    <w:rsid w:val="0090012E"/>
    <w:rsid w:val="00907DA5"/>
    <w:rsid w:val="00915F0F"/>
    <w:rsid w:val="009377AF"/>
    <w:rsid w:val="009532DF"/>
    <w:rsid w:val="00971615"/>
    <w:rsid w:val="00993270"/>
    <w:rsid w:val="00997019"/>
    <w:rsid w:val="009A5029"/>
    <w:rsid w:val="009A67F9"/>
    <w:rsid w:val="009B2358"/>
    <w:rsid w:val="009C2A2D"/>
    <w:rsid w:val="009D38D5"/>
    <w:rsid w:val="009E0F5C"/>
    <w:rsid w:val="00A53F26"/>
    <w:rsid w:val="00A7507C"/>
    <w:rsid w:val="00AA0CC5"/>
    <w:rsid w:val="00AA5428"/>
    <w:rsid w:val="00AB04BF"/>
    <w:rsid w:val="00AB0B4B"/>
    <w:rsid w:val="00AB6D6F"/>
    <w:rsid w:val="00B10DBD"/>
    <w:rsid w:val="00B16AFE"/>
    <w:rsid w:val="00B20888"/>
    <w:rsid w:val="00B44662"/>
    <w:rsid w:val="00B6499A"/>
    <w:rsid w:val="00B65DD5"/>
    <w:rsid w:val="00B95957"/>
    <w:rsid w:val="00BA0162"/>
    <w:rsid w:val="00BB4A0C"/>
    <w:rsid w:val="00BB4FB9"/>
    <w:rsid w:val="00BD10B6"/>
    <w:rsid w:val="00BD2E2C"/>
    <w:rsid w:val="00BF5ED6"/>
    <w:rsid w:val="00C07076"/>
    <w:rsid w:val="00C75113"/>
    <w:rsid w:val="00C81116"/>
    <w:rsid w:val="00C830AC"/>
    <w:rsid w:val="00C92C3E"/>
    <w:rsid w:val="00C977B5"/>
    <w:rsid w:val="00CB00DF"/>
    <w:rsid w:val="00CB07DC"/>
    <w:rsid w:val="00CB2E54"/>
    <w:rsid w:val="00CC229F"/>
    <w:rsid w:val="00CD6E31"/>
    <w:rsid w:val="00D02834"/>
    <w:rsid w:val="00D14522"/>
    <w:rsid w:val="00D1722B"/>
    <w:rsid w:val="00D43EC3"/>
    <w:rsid w:val="00D73C72"/>
    <w:rsid w:val="00DB155D"/>
    <w:rsid w:val="00DC073B"/>
    <w:rsid w:val="00DC558F"/>
    <w:rsid w:val="00DD01D9"/>
    <w:rsid w:val="00DD427C"/>
    <w:rsid w:val="00E0592B"/>
    <w:rsid w:val="00E05B2E"/>
    <w:rsid w:val="00E31738"/>
    <w:rsid w:val="00E372F7"/>
    <w:rsid w:val="00E8192E"/>
    <w:rsid w:val="00E86786"/>
    <w:rsid w:val="00E9040C"/>
    <w:rsid w:val="00E93D24"/>
    <w:rsid w:val="00ED2F80"/>
    <w:rsid w:val="00F1624E"/>
    <w:rsid w:val="00F240CC"/>
    <w:rsid w:val="00F2497C"/>
    <w:rsid w:val="00F32F8A"/>
    <w:rsid w:val="00F336FC"/>
    <w:rsid w:val="00F34E3E"/>
    <w:rsid w:val="00F61028"/>
    <w:rsid w:val="00F62C84"/>
    <w:rsid w:val="00F642B7"/>
    <w:rsid w:val="00F66759"/>
    <w:rsid w:val="00F66970"/>
    <w:rsid w:val="00F810AA"/>
    <w:rsid w:val="00F96CA5"/>
    <w:rsid w:val="00FA660D"/>
    <w:rsid w:val="00FB43EC"/>
    <w:rsid w:val="00FB6B40"/>
    <w:rsid w:val="00FE3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075D2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0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7EA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EA6"/>
    <w:rPr>
      <w:rFonts w:ascii="Calibri" w:eastAsia="宋体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B7EA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EA6"/>
    <w:rPr>
      <w:rFonts w:ascii="Calibri" w:eastAsia="宋体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C8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C84"/>
    <w:rPr>
      <w:rFonts w:ascii="Calibri" w:eastAsia="宋体" w:hAnsi="Calibri" w:cs="Times New Roman"/>
      <w:sz w:val="18"/>
      <w:szCs w:val="18"/>
    </w:rPr>
  </w:style>
  <w:style w:type="character" w:styleId="Hyperlink">
    <w:name w:val="Hyperlink"/>
    <w:aliases w:val="VBB Hyperlink"/>
    <w:basedOn w:val="DefaultParagraphFont"/>
    <w:unhideWhenUsed/>
    <w:qFormat/>
    <w:rsid w:val="00DB155D"/>
    <w:rPr>
      <w:color w:val="0563C1" w:themeColor="hyperlink"/>
      <w:u w:val="single"/>
    </w:rPr>
  </w:style>
  <w:style w:type="paragraph" w:styleId="FootnoteText">
    <w:name w:val="footnote text"/>
    <w:aliases w:val="fn,Footnote Text Char Car,ALTS FOOTNOTE,Mod-Footnote Text,ALTS FOOTNOTE Char,Footnote Text Char1 Char,Footnote Text Char Char1 Char,ft Char Char Char,Footnote Text Char3 Char Char Char,Texto nota pie Car,Car,Char Char,ft,F,Footnote Tex,FT"/>
    <w:basedOn w:val="Normal"/>
    <w:link w:val="FootnoteTextChar"/>
    <w:unhideWhenUsed/>
    <w:qFormat/>
    <w:rsid w:val="003A528C"/>
    <w:pPr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FootnoteTextChar">
    <w:name w:val="Footnote Text Char"/>
    <w:aliases w:val="fn Char,Footnote Text Char Car Char,ALTS FOOTNOTE Char1,Mod-Footnote Text Char,ALTS FOOTNOTE Char Char,Footnote Text Char1 Char Char,Footnote Text Char Char1 Char Char,ft Char Char Char Char,Footnote Text Char3 Char Char Char Char"/>
    <w:basedOn w:val="DefaultParagraphFont"/>
    <w:link w:val="FootnoteText"/>
    <w:rsid w:val="003A528C"/>
    <w:rPr>
      <w:rFonts w:ascii="Times New Roman" w:eastAsia="宋体" w:hAnsi="Times New Roman" w:cs="Times New Roman"/>
      <w:sz w:val="18"/>
      <w:szCs w:val="18"/>
    </w:rPr>
  </w:style>
  <w:style w:type="character" w:styleId="FootnoteReference">
    <w:name w:val="footnote reference"/>
    <w:aliases w:val="-E Fußnotenzeichen,fr,(NECG) Footnote Reference,Footnote Reference Number,Footnote Reference_LVL6,Footnote Reference_LVL61,Footnote Reference_LVL62,Footnote Reference_LVL63,Footnote Reference_LVL64,BVI fnr,Footnote Reference Superscri"/>
    <w:unhideWhenUsed/>
    <w:qFormat/>
    <w:rsid w:val="003A528C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3A528C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CBC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5CBC"/>
    <w:rPr>
      <w:rFonts w:ascii="Calibri" w:eastAsia="宋体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C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CBC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510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2023-01-03T01:56:00Z</dcterms:created>
  <dcterms:modified xsi:type="dcterms:W3CDTF">2023-01-03T01:56:00Z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e67a54-274b-43d7-8098-b3ba5f50e576_Enabled">
    <vt:lpwstr>true</vt:lpwstr>
  </property>
  <property fmtid="{D5CDD505-2E9C-101B-9397-08002B2CF9AE}" pid="3" name="MSIP_Label_42e67a54-274b-43d7-8098-b3ba5f50e576_SetDate">
    <vt:lpwstr>2022-04-27T03:12:02Z</vt:lpwstr>
  </property>
  <property fmtid="{D5CDD505-2E9C-101B-9397-08002B2CF9AE}" pid="4" name="MSIP_Label_42e67a54-274b-43d7-8098-b3ba5f50e576_Method">
    <vt:lpwstr>Standard</vt:lpwstr>
  </property>
  <property fmtid="{D5CDD505-2E9C-101B-9397-08002B2CF9AE}" pid="5" name="MSIP_Label_42e67a54-274b-43d7-8098-b3ba5f50e576_Name">
    <vt:lpwstr>42e67a54-274b-43d7-8098-b3ba5f50e576</vt:lpwstr>
  </property>
  <property fmtid="{D5CDD505-2E9C-101B-9397-08002B2CF9AE}" pid="6" name="MSIP_Label_42e67a54-274b-43d7-8098-b3ba5f50e576_SiteId">
    <vt:lpwstr>7f0b44d2-04f8-4672-bf5d-4676796468a3</vt:lpwstr>
  </property>
  <property fmtid="{D5CDD505-2E9C-101B-9397-08002B2CF9AE}" pid="7" name="MSIP_Label_42e67a54-274b-43d7-8098-b3ba5f50e576_ActionId">
    <vt:lpwstr>8d082ebb-4aaa-4f66-a2d1-23906e2aef0d</vt:lpwstr>
  </property>
  <property fmtid="{D5CDD505-2E9C-101B-9397-08002B2CF9AE}" pid="8" name="MSIP_Label_42e67a54-274b-43d7-8098-b3ba5f50e576_ContentBits">
    <vt:lpwstr>0</vt:lpwstr>
  </property>
  <property fmtid="{D5CDD505-2E9C-101B-9397-08002B2CF9AE}" pid="9" name="cpCombinedRef">
    <vt:lpwstr>0093891-0000039 UKO3: 2005565861.3</vt:lpwstr>
  </property>
  <property fmtid="{D5CDD505-2E9C-101B-9397-08002B2CF9AE}" pid="10" name="Client">
    <vt:lpwstr>0093891</vt:lpwstr>
  </property>
  <property fmtid="{D5CDD505-2E9C-101B-9397-08002B2CF9AE}" pid="11" name="Matter">
    <vt:lpwstr>0000039</vt:lpwstr>
  </property>
  <property fmtid="{D5CDD505-2E9C-101B-9397-08002B2CF9AE}" pid="12" name="cpClientMatter">
    <vt:lpwstr>0093891-0000039</vt:lpwstr>
  </property>
  <property fmtid="{D5CDD505-2E9C-101B-9397-08002B2CF9AE}" pid="13" name="cpDocRef">
    <vt:lpwstr>UKO3: 2005565861.3</vt:lpwstr>
  </property>
</Properties>
</file>