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000000"/>
          <w:spacing w:val="30"/>
          <w:kern w:val="0"/>
          <w:sz w:val="52"/>
          <w:szCs w:val="52"/>
          <w:fitText w:val="5742" w:id="1450529788"/>
        </w:rPr>
      </w:pP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0"/>
          <w:sz w:val="52"/>
          <w:szCs w:val="52"/>
          <w:fitText w:val="5742" w:id="1450529788"/>
        </w:rPr>
        <w:t>国家市场监督管理总</w:t>
      </w:r>
      <w:r>
        <w:rPr>
          <w:rFonts w:hint="default" w:ascii="Times New Roman" w:hAnsi="Times New Roman" w:eastAsia="黑体" w:cs="Times New Roman"/>
          <w:bCs/>
          <w:color w:val="000000"/>
          <w:spacing w:val="1"/>
          <w:kern w:val="0"/>
          <w:sz w:val="52"/>
          <w:szCs w:val="52"/>
          <w:fitText w:val="5742" w:id="1450529788"/>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1"/>
        </w:rPr>
        <w:t>行政处罚决定</w:t>
      </w:r>
      <w:r>
        <w:rPr>
          <w:rFonts w:hint="default" w:ascii="Times New Roman" w:hAnsi="Times New Roman" w:eastAsia="黑体" w:cs="Times New Roman"/>
          <w:bCs/>
          <w:color w:val="000000"/>
          <w:spacing w:val="1"/>
          <w:kern w:val="0"/>
          <w:sz w:val="52"/>
          <w:szCs w:val="52"/>
          <w:fitText w:val="5742" w:id="1"/>
        </w:rPr>
        <w:t>书</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w:t>
      </w:r>
      <w:r>
        <w:rPr>
          <w:rFonts w:hint="eastAsia" w:eastAsia="仿宋_GB2312" w:cs="Times New Roman"/>
          <w:kern w:val="2"/>
          <w:sz w:val="32"/>
          <w:szCs w:val="32"/>
          <w:lang w:eastAsia="zh-CN"/>
        </w:rPr>
        <w:t>罚</w:t>
      </w:r>
      <w:r>
        <w:rPr>
          <w:rFonts w:hint="default" w:ascii="Times New Roman" w:hAnsi="Times New Roman" w:eastAsia="仿宋_GB2312" w:cs="Times New Roman"/>
          <w:kern w:val="2"/>
          <w:sz w:val="32"/>
          <w:szCs w:val="32"/>
        </w:rPr>
        <w:t>〔202</w:t>
      </w:r>
      <w:r>
        <w:rPr>
          <w:rFonts w:hint="eastAsia" w:eastAsia="仿宋_GB2312" w:cs="Times New Roman"/>
          <w:kern w:val="2"/>
          <w:sz w:val="32"/>
          <w:szCs w:val="32"/>
          <w:lang w:val="en-US" w:eastAsia="zh-CN"/>
        </w:rPr>
        <w:t>2</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12</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28"/>
          <w:szCs w:val="28"/>
        </w:rPr>
      </w:pPr>
    </w:p>
    <w:p>
      <w:pPr>
        <w:pStyle w:val="3"/>
        <w:keepNext w:val="0"/>
        <w:keepLines w:val="0"/>
        <w:pageBreakBefore w:val="0"/>
        <w:widowControl w:val="0"/>
        <w:kinsoku/>
        <w:wordWrap/>
        <w:topLinePunct w:val="0"/>
        <w:bidi w:val="0"/>
        <w:spacing w:line="594" w:lineRule="exact"/>
        <w:ind w:left="0" w:leftChars="0" w:firstLine="619" w:firstLineChars="197"/>
        <w:textAlignment w:val="auto"/>
        <w:rPr>
          <w:rFonts w:hint="default" w:ascii="Times New Roman" w:hAnsi="Times New Roman" w:eastAsia="仿宋_GB2312" w:cs="Times New Roman"/>
          <w:sz w:val="32"/>
          <w:lang w:val="en-US" w:eastAsia="zh-CN"/>
        </w:rPr>
      </w:pPr>
      <w:r>
        <w:rPr>
          <w:rFonts w:hint="default" w:ascii="Times New Roman" w:hAnsi="Times New Roman" w:eastAsia="黑体" w:cs="Times New Roman"/>
          <w:kern w:val="2"/>
          <w:sz w:val="32"/>
          <w:szCs w:val="32"/>
        </w:rPr>
        <w:t>当事人：</w:t>
      </w:r>
      <w:r>
        <w:rPr>
          <w:rFonts w:ascii="Times New Roman" w:hAnsi="Times New Roman" w:eastAsia="仿宋_GB2312" w:cs="Times New Roman"/>
          <w:sz w:val="32"/>
          <w:szCs w:val="32"/>
        </w:rPr>
        <w:t>上海幻电</w:t>
      </w:r>
      <w:r>
        <w:rPr>
          <w:rFonts w:hint="eastAsia" w:ascii="Times New Roman" w:hAnsi="Times New Roman" w:eastAsia="仿宋_GB2312" w:cs="Times New Roman"/>
          <w:sz w:val="32"/>
          <w:szCs w:val="32"/>
          <w:lang w:eastAsia="zh-CN"/>
        </w:rPr>
        <w:t>信息科技</w:t>
      </w:r>
      <w:r>
        <w:rPr>
          <w:rFonts w:ascii="Times New Roman" w:hAnsi="Times New Roman" w:eastAsia="仿宋_GB2312" w:cs="Times New Roman"/>
          <w:sz w:val="32"/>
          <w:szCs w:val="32"/>
        </w:rPr>
        <w:t>有限公司</w:t>
      </w:r>
    </w:p>
    <w:p>
      <w:pPr>
        <w:pStyle w:val="3"/>
        <w:keepNext w:val="0"/>
        <w:keepLines w:val="0"/>
        <w:pageBreakBefore w:val="0"/>
        <w:widowControl w:val="0"/>
        <w:kinsoku/>
        <w:wordWrap/>
        <w:topLinePunct w:val="0"/>
        <w:bidi w:val="0"/>
        <w:spacing w:line="594" w:lineRule="exact"/>
        <w:ind w:left="0" w:leftChars="0" w:firstLine="619" w:firstLineChars="197"/>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黑体" w:cs="Times New Roman"/>
          <w:kern w:val="2"/>
          <w:sz w:val="32"/>
          <w:szCs w:val="32"/>
        </w:rPr>
        <w:t xml:space="preserve">住 </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黑体" w:cs="Times New Roman"/>
          <w:kern w:val="2"/>
          <w:sz w:val="32"/>
          <w:szCs w:val="32"/>
        </w:rPr>
        <w:t>所：</w:t>
      </w:r>
      <w:r>
        <w:rPr>
          <w:rFonts w:hint="eastAsia" w:ascii="Times New Roman" w:hAnsi="Times New Roman" w:eastAsia="仿宋_GB2312" w:cs="Times New Roman"/>
          <w:sz w:val="32"/>
          <w:lang w:val="en-US" w:eastAsia="zh-CN"/>
        </w:rPr>
        <w:t>上海市张江高科技园祖冲之路2277弄1号905、906室</w:t>
      </w:r>
      <w:r>
        <w:rPr>
          <w:rFonts w:hint="default" w:ascii="Times New Roman" w:hAnsi="Times New Roman" w:eastAsia="仿宋_GB2312" w:cs="Times New Roman"/>
          <w:sz w:val="32"/>
          <w:lang w:val="en-US" w:eastAsia="zh-CN"/>
        </w:rPr>
        <w:t xml:space="preserve">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sz w:val="32"/>
          <w:szCs w:val="32"/>
          <w:lang w:eastAsia="zh-CN"/>
        </w:rPr>
        <w:t>根据《中华人民共和国反垄断法》（以下简称《反垄断法》）《经营者集中审查暂行规定》，本机关于</w:t>
      </w:r>
      <w:r>
        <w:rPr>
          <w:rFonts w:hint="default" w:ascii="Times New Roman" w:hAnsi="Times New Roman" w:eastAsia="仿宋_GB2312" w:cs="Times New Roman"/>
          <w:sz w:val="32"/>
          <w:szCs w:val="32"/>
          <w:lang w:val="en-US" w:eastAsia="zh-CN"/>
        </w:rPr>
        <w:t>2021年</w:t>
      </w:r>
      <w:r>
        <w:rPr>
          <w:rFonts w:hint="eastAsia" w:ascii="Times New Roman" w:hAnsi="Times New Roman" w:eastAsia="仿宋_GB2312" w:cs="Times New Roman"/>
          <w:color w:val="auto"/>
          <w:sz w:val="32"/>
          <w:lang w:val="en-US" w:eastAsia="zh-CN"/>
        </w:rPr>
        <w:t>9</w:t>
      </w:r>
      <w:r>
        <w:rPr>
          <w:rFonts w:hint="default" w:ascii="Times New Roman" w:hAnsi="Times New Roman" w:eastAsia="仿宋_GB2312" w:cs="Times New Roman"/>
          <w:color w:val="auto"/>
          <w:sz w:val="32"/>
          <w:lang w:val="en-US" w:eastAsia="zh-CN"/>
        </w:rPr>
        <w:t>月</w:t>
      </w: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lang w:val="en-US" w:eastAsia="zh-CN"/>
        </w:rPr>
        <w:t>日</w:t>
      </w:r>
      <w:r>
        <w:rPr>
          <w:rFonts w:hint="default" w:ascii="Times New Roman" w:hAnsi="Times New Roman" w:eastAsia="仿宋_GB2312" w:cs="Times New Roman"/>
          <w:sz w:val="32"/>
          <w:szCs w:val="32"/>
          <w:lang w:eastAsia="zh-CN"/>
        </w:rPr>
        <w:t>对</w:t>
      </w:r>
      <w:r>
        <w:rPr>
          <w:rFonts w:ascii="Times New Roman" w:hAnsi="Times New Roman" w:eastAsia="仿宋_GB2312" w:cs="Times New Roman"/>
          <w:sz w:val="32"/>
          <w:szCs w:val="32"/>
        </w:rPr>
        <w:t>上海幻电</w:t>
      </w:r>
      <w:r>
        <w:rPr>
          <w:rFonts w:hint="eastAsia" w:ascii="Times New Roman" w:hAnsi="Times New Roman" w:eastAsia="仿宋_GB2312" w:cs="Times New Roman"/>
          <w:sz w:val="32"/>
          <w:szCs w:val="32"/>
          <w:lang w:eastAsia="zh-CN"/>
        </w:rPr>
        <w:t>信息科技</w:t>
      </w:r>
      <w:r>
        <w:rPr>
          <w:rFonts w:ascii="Times New Roman" w:hAnsi="Times New Roman" w:eastAsia="仿宋_GB2312" w:cs="Times New Roman"/>
          <w:sz w:val="32"/>
          <w:szCs w:val="32"/>
        </w:rPr>
        <w:t>有限公司</w:t>
      </w:r>
      <w:r>
        <w:rPr>
          <w:rFonts w:hint="default" w:ascii="Times New Roman" w:hAnsi="Times New Roman" w:eastAsia="仿宋_GB2312" w:cs="Times New Roman"/>
          <w:sz w:val="32"/>
        </w:rPr>
        <w:t>（以下简称</w:t>
      </w:r>
      <w:r>
        <w:rPr>
          <w:rFonts w:hint="eastAsia" w:eastAsia="仿宋_GB2312" w:cs="Times New Roman"/>
          <w:sz w:val="32"/>
          <w:lang w:eastAsia="zh-CN"/>
        </w:rPr>
        <w:t>上海幻电</w:t>
      </w:r>
      <w:r>
        <w:rPr>
          <w:rFonts w:hint="default" w:ascii="Times New Roman" w:hAnsi="Times New Roman" w:eastAsia="仿宋_GB2312" w:cs="Times New Roman"/>
          <w:sz w:val="32"/>
        </w:rPr>
        <w:t>）收购</w:t>
      </w:r>
      <w:r>
        <w:rPr>
          <w:rFonts w:hint="eastAsia" w:eastAsia="仿宋_GB2312" w:cs="Times New Roman"/>
          <w:sz w:val="32"/>
          <w:lang w:eastAsia="zh-CN"/>
        </w:rPr>
        <w:t>北京绮心科技</w:t>
      </w:r>
      <w:r>
        <w:rPr>
          <w:rFonts w:hint="default" w:ascii="Times New Roman" w:hAnsi="Times New Roman" w:eastAsia="仿宋_GB2312" w:cs="Times New Roman"/>
          <w:sz w:val="32"/>
          <w:szCs w:val="32"/>
        </w:rPr>
        <w:t>有限公司</w:t>
      </w:r>
      <w:r>
        <w:rPr>
          <w:rFonts w:hint="default" w:ascii="Times New Roman" w:hAnsi="Times New Roman" w:eastAsia="仿宋_GB2312" w:cs="Times New Roman"/>
          <w:sz w:val="32"/>
        </w:rPr>
        <w:t>（以下简称</w:t>
      </w:r>
      <w:r>
        <w:rPr>
          <w:rFonts w:hint="eastAsia" w:eastAsia="仿宋_GB2312" w:cs="Times New Roman"/>
          <w:sz w:val="32"/>
          <w:lang w:eastAsia="zh-CN"/>
        </w:rPr>
        <w:t>北京绮心</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股权</w:t>
      </w:r>
      <w:r>
        <w:rPr>
          <w:rFonts w:hint="default" w:ascii="Times New Roman" w:hAnsi="Times New Roman" w:eastAsia="仿宋_GB2312" w:cs="Times New Roman"/>
          <w:sz w:val="32"/>
        </w:rPr>
        <w:t>涉嫌</w:t>
      </w:r>
      <w:r>
        <w:rPr>
          <w:rFonts w:hint="eastAsia" w:eastAsia="仿宋_GB2312" w:cs="Times New Roman"/>
          <w:color w:val="auto"/>
          <w:sz w:val="32"/>
          <w:lang w:val="en-US" w:eastAsia="zh-CN"/>
        </w:rPr>
        <w:t>未依法申报</w:t>
      </w:r>
      <w:r>
        <w:rPr>
          <w:rFonts w:hint="default" w:ascii="Times New Roman" w:hAnsi="Times New Roman" w:eastAsia="仿宋_GB2312" w:cs="Times New Roman"/>
          <w:color w:val="auto"/>
          <w:sz w:val="32"/>
          <w:lang w:val="en-US" w:eastAsia="zh-CN"/>
        </w:rPr>
        <w:t>违法实施经营者集中案</w:t>
      </w:r>
      <w:r>
        <w:rPr>
          <w:rFonts w:hint="default" w:ascii="Times New Roman" w:hAnsi="Times New Roman" w:eastAsia="仿宋_GB2312" w:cs="Times New Roman"/>
          <w:color w:val="auto"/>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auto"/>
          <w:kern w:val="2"/>
          <w:sz w:val="32"/>
          <w:szCs w:val="32"/>
        </w:rPr>
        <w:t>经查，该案构成</w:t>
      </w:r>
      <w:r>
        <w:rPr>
          <w:rFonts w:hint="eastAsia" w:eastAsia="仿宋_GB2312" w:cs="Times New Roman"/>
          <w:color w:val="auto"/>
          <w:kern w:val="2"/>
          <w:sz w:val="32"/>
          <w:szCs w:val="32"/>
          <w:lang w:eastAsia="zh-CN"/>
        </w:rPr>
        <w:t>未依法申报</w:t>
      </w:r>
      <w:r>
        <w:rPr>
          <w:rFonts w:hint="default" w:ascii="Times New Roman" w:hAnsi="Times New Roman" w:eastAsia="仿宋_GB2312" w:cs="Times New Roman"/>
          <w:color w:val="auto"/>
          <w:kern w:val="2"/>
          <w:sz w:val="32"/>
          <w:szCs w:val="32"/>
        </w:rPr>
        <w:t>违法实施经营者集中，但不具有排除、限制竞争的效果。本机关按照《</w:t>
      </w:r>
      <w:r>
        <w:rPr>
          <w:rFonts w:hint="default" w:ascii="Times New Roman" w:hAnsi="Times New Roman" w:eastAsia="仿宋_GB2312" w:cs="Times New Roman"/>
          <w:color w:val="auto"/>
          <w:kern w:val="2"/>
          <w:sz w:val="32"/>
          <w:szCs w:val="32"/>
          <w:lang w:eastAsia="zh-CN"/>
        </w:rPr>
        <w:t>中华人民共和国</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（以下简称</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rPr>
        <w:t>的规定，向</w:t>
      </w:r>
      <w:r>
        <w:rPr>
          <w:rFonts w:hint="eastAsia" w:eastAsia="仿宋_GB2312" w:cs="Times New Roman"/>
          <w:sz w:val="32"/>
          <w:lang w:val="en-US" w:eastAsia="zh-CN"/>
        </w:rPr>
        <w:t>上海幻电</w:t>
      </w:r>
      <w:r>
        <w:rPr>
          <w:rFonts w:hint="default" w:ascii="Times New Roman" w:hAnsi="Times New Roman" w:eastAsia="仿宋_GB2312" w:cs="Times New Roman"/>
          <w:color w:val="auto"/>
          <w:kern w:val="2"/>
          <w:sz w:val="32"/>
          <w:szCs w:val="32"/>
        </w:rPr>
        <w:t>送达了《行政处罚告知书》，告知</w:t>
      </w:r>
      <w:r>
        <w:rPr>
          <w:rFonts w:hint="eastAsia"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拟作出</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行政处罚</w:t>
      </w:r>
      <w:r>
        <w:rPr>
          <w:rFonts w:hint="eastAsia" w:eastAsia="仿宋_GB2312" w:cs="Times New Roman"/>
          <w:color w:val="auto"/>
          <w:kern w:val="2"/>
          <w:sz w:val="32"/>
          <w:szCs w:val="32"/>
          <w:lang w:eastAsia="zh-CN"/>
        </w:rPr>
        <w:t>内容及</w:t>
      </w:r>
      <w:r>
        <w:rPr>
          <w:rFonts w:hint="default" w:ascii="Times New Roman" w:hAnsi="Times New Roman" w:eastAsia="仿宋_GB2312" w:cs="Times New Roman"/>
          <w:color w:val="auto"/>
          <w:kern w:val="2"/>
          <w:sz w:val="32"/>
          <w:szCs w:val="32"/>
        </w:rPr>
        <w:t>事实、理由、</w:t>
      </w:r>
      <w:r>
        <w:rPr>
          <w:rFonts w:hint="eastAsia" w:eastAsia="仿宋_GB2312" w:cs="Times New Roman"/>
          <w:color w:val="auto"/>
          <w:kern w:val="2"/>
          <w:sz w:val="32"/>
          <w:szCs w:val="32"/>
          <w:lang w:eastAsia="zh-CN"/>
        </w:rPr>
        <w:t>依据</w:t>
      </w:r>
      <w:r>
        <w:rPr>
          <w:rFonts w:hint="default" w:ascii="Times New Roman" w:hAnsi="Times New Roman" w:eastAsia="仿宋_GB2312" w:cs="Times New Roman"/>
          <w:color w:val="auto"/>
          <w:kern w:val="2"/>
          <w:sz w:val="32"/>
          <w:szCs w:val="32"/>
        </w:rPr>
        <w:t>，</w:t>
      </w:r>
      <w:r>
        <w:rPr>
          <w:rFonts w:hint="eastAsia" w:eastAsia="仿宋_GB2312" w:cs="Times New Roman"/>
          <w:color w:val="auto"/>
          <w:kern w:val="2"/>
          <w:sz w:val="32"/>
          <w:szCs w:val="32"/>
          <w:lang w:eastAsia="zh-CN"/>
        </w:rPr>
        <w:t>并告知当事人</w:t>
      </w:r>
      <w:r>
        <w:rPr>
          <w:rFonts w:hint="default" w:ascii="Times New Roman" w:hAnsi="Times New Roman" w:eastAsia="仿宋_GB2312" w:cs="Times New Roman"/>
          <w:color w:val="auto"/>
          <w:kern w:val="2"/>
          <w:sz w:val="32"/>
          <w:szCs w:val="32"/>
        </w:rPr>
        <w:t>依法享有的陈述、申辩</w:t>
      </w:r>
      <w:r>
        <w:rPr>
          <w:rFonts w:hint="eastAsia"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要求听证</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权</w:t>
      </w:r>
      <w:r>
        <w:rPr>
          <w:rFonts w:hint="eastAsia" w:eastAsia="仿宋_GB2312" w:cs="Times New Roman"/>
          <w:color w:val="auto"/>
          <w:kern w:val="2"/>
          <w:sz w:val="32"/>
          <w:szCs w:val="32"/>
          <w:lang w:eastAsia="zh-CN"/>
        </w:rPr>
        <w:t>利</w:t>
      </w:r>
      <w:r>
        <w:rPr>
          <w:rFonts w:hint="default" w:ascii="Times New Roman" w:hAnsi="Times New Roman" w:eastAsia="仿宋_GB2312" w:cs="Times New Roman"/>
          <w:kern w:val="2"/>
          <w:sz w:val="32"/>
          <w:szCs w:val="32"/>
        </w:rPr>
        <w:t>。</w:t>
      </w:r>
      <w:r>
        <w:rPr>
          <w:rFonts w:hint="eastAsia" w:eastAsia="仿宋_GB2312" w:cs="Times New Roman"/>
          <w:sz w:val="32"/>
          <w:lang w:val="en-US" w:eastAsia="zh-CN"/>
        </w:rPr>
        <w:t>上海幻电</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（一）交易方。</w:t>
      </w:r>
    </w:p>
    <w:p>
      <w:pPr>
        <w:pStyle w:val="9"/>
        <w:pageBreakBefore w:val="0"/>
        <w:kinsoku/>
        <w:topLinePunct w:val="0"/>
        <w:bidi w:val="0"/>
        <w:spacing w:line="594" w:lineRule="exact"/>
        <w:ind w:firstLine="641"/>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bCs w:val="0"/>
          <w:kern w:val="2"/>
          <w:sz w:val="32"/>
          <w:szCs w:val="32"/>
          <w:lang w:val="en-US" w:eastAsia="zh-CN" w:bidi="ar-SA"/>
        </w:rPr>
        <w:t>收购方：</w:t>
      </w:r>
      <w:r>
        <w:rPr>
          <w:rFonts w:hint="eastAsia" w:ascii="Times New Roman" w:hAnsi="Times New Roman" w:cs="Times New Roman"/>
          <w:b/>
          <w:bCs w:val="0"/>
          <w:kern w:val="2"/>
          <w:sz w:val="32"/>
          <w:szCs w:val="32"/>
          <w:lang w:val="en-US" w:eastAsia="zh-CN" w:bidi="ar-SA"/>
        </w:rPr>
        <w:t>上海幻电</w:t>
      </w:r>
      <w:r>
        <w:rPr>
          <w:rFonts w:hint="default" w:ascii="Times New Roman" w:hAnsi="Times New Roman" w:eastAsia="仿宋_GB2312" w:cs="Times New Roman"/>
          <w:b/>
          <w:bCs w:val="0"/>
          <w:kern w:val="2"/>
          <w:sz w:val="32"/>
          <w:szCs w:val="32"/>
          <w:lang w:val="en-US" w:eastAsia="zh-CN" w:bidi="ar-SA"/>
        </w:rPr>
        <w:t>。</w:t>
      </w:r>
      <w:r>
        <w:rPr>
          <w:rFonts w:hint="default" w:ascii="Times New Roman" w:hAnsi="Times New Roman" w:eastAsia="仿宋_GB2312" w:cs="Times New Roman"/>
          <w:b w:val="0"/>
          <w:bCs/>
          <w:sz w:val="32"/>
          <w:szCs w:val="32"/>
        </w:rPr>
        <w:t>2013年于</w:t>
      </w:r>
      <w:r>
        <w:rPr>
          <w:rFonts w:hint="eastAsia" w:ascii="Times New Roman" w:hAnsi="Times New Roman" w:cs="Times New Roman"/>
          <w:b w:val="0"/>
          <w:bCs/>
          <w:sz w:val="32"/>
          <w:szCs w:val="32"/>
          <w:lang w:eastAsia="zh-CN"/>
        </w:rPr>
        <w:t>中国上海市</w:t>
      </w:r>
      <w:r>
        <w:rPr>
          <w:rFonts w:hint="default" w:ascii="Times New Roman" w:hAnsi="Times New Roman" w:eastAsia="仿宋_GB2312" w:cs="Times New Roman"/>
          <w:b w:val="0"/>
          <w:bCs/>
          <w:sz w:val="32"/>
          <w:szCs w:val="32"/>
        </w:rPr>
        <w:t>注册成立</w:t>
      </w:r>
      <w:r>
        <w:rPr>
          <w:rFonts w:hint="default" w:ascii="Times New Roman" w:hAnsi="Times New Roman" w:eastAsia="仿宋_GB2312" w:cs="Times New Roman"/>
          <w:b w:val="0"/>
          <w:bCs/>
          <w:sz w:val="32"/>
          <w:szCs w:val="32"/>
          <w:lang w:eastAsia="zh-CN"/>
        </w:rPr>
        <w:t>，最终控制人为</w:t>
      </w:r>
      <w:r>
        <w:rPr>
          <w:rFonts w:hint="default" w:ascii="Times New Roman" w:hAnsi="Times New Roman" w:eastAsia="仿宋_GB2312" w:cs="Times New Roman"/>
          <w:b w:val="0"/>
          <w:bCs/>
          <w:sz w:val="32"/>
          <w:szCs w:val="32"/>
        </w:rPr>
        <w:t>哔哩哔哩</w:t>
      </w:r>
      <w:r>
        <w:rPr>
          <w:rFonts w:hint="default" w:ascii="Times New Roman" w:hAnsi="Times New Roman" w:eastAsia="仿宋_GB2312" w:cs="Times New Roman"/>
          <w:b w:val="0"/>
          <w:bCs/>
          <w:kern w:val="0"/>
          <w:sz w:val="32"/>
          <w:szCs w:val="32"/>
        </w:rPr>
        <w:t>股份有限公司（Bilibili Inc.，</w:t>
      </w:r>
      <w:r>
        <w:rPr>
          <w:rFonts w:hint="default" w:ascii="Times New Roman" w:hAnsi="Times New Roman" w:eastAsia="仿宋_GB2312" w:cs="Times New Roman"/>
          <w:b w:val="0"/>
          <w:bCs/>
          <w:kern w:val="0"/>
          <w:sz w:val="32"/>
          <w:szCs w:val="32"/>
          <w:lang w:eastAsia="zh-CN"/>
        </w:rPr>
        <w:t>以下</w:t>
      </w:r>
      <w:r>
        <w:rPr>
          <w:rFonts w:hint="default" w:ascii="Times New Roman" w:hAnsi="Times New Roman" w:eastAsia="仿宋_GB2312" w:cs="Times New Roman"/>
          <w:b w:val="0"/>
          <w:bCs/>
          <w:kern w:val="0"/>
          <w:sz w:val="32"/>
          <w:szCs w:val="32"/>
        </w:rPr>
        <w:t>简称“哔哩哔哩”）</w:t>
      </w:r>
      <w:r>
        <w:rPr>
          <w:rFonts w:hint="default" w:ascii="Times New Roman" w:hAnsi="Times New Roman" w:eastAsia="仿宋_GB2312" w:cs="Times New Roman"/>
          <w:b w:val="0"/>
          <w:bCs/>
          <w:sz w:val="32"/>
          <w:szCs w:val="32"/>
          <w:lang w:eastAsia="zh-CN"/>
        </w:rPr>
        <w:t>。哔哩哔哩于</w:t>
      </w:r>
      <w:r>
        <w:rPr>
          <w:rFonts w:hint="default" w:ascii="Times New Roman" w:hAnsi="Times New Roman" w:eastAsia="仿宋_GB2312" w:cs="Times New Roman"/>
          <w:b w:val="0"/>
          <w:bCs/>
          <w:kern w:val="2"/>
          <w:sz w:val="32"/>
          <w:szCs w:val="32"/>
          <w:lang w:val="en-US" w:eastAsia="zh-CN" w:bidi="ar-SA"/>
        </w:rPr>
        <w:t>2018年3月28日在美国纳斯达克交易所上市，2021年3月29日在香港交易所上市，</w:t>
      </w:r>
      <w:r>
        <w:rPr>
          <w:rFonts w:hint="default" w:ascii="Times New Roman" w:hAnsi="Times New Roman" w:eastAsia="仿宋_GB2312" w:cs="Times New Roman"/>
          <w:b w:val="0"/>
          <w:bCs/>
          <w:sz w:val="32"/>
          <w:szCs w:val="32"/>
        </w:rPr>
        <w:t>通过关联实体基于协议安排控制上海幻电</w:t>
      </w:r>
      <w:r>
        <w:rPr>
          <w:rFonts w:hint="default" w:ascii="Times New Roman" w:hAnsi="Times New Roman" w:eastAsia="仿宋_GB2312" w:cs="Times New Roman"/>
          <w:b w:val="0"/>
          <w:bCs/>
          <w:sz w:val="32"/>
          <w:szCs w:val="32"/>
          <w:lang w:eastAsia="zh-CN"/>
        </w:rPr>
        <w:t>。上海幻电</w:t>
      </w:r>
      <w:r>
        <w:rPr>
          <w:rFonts w:hint="default" w:ascii="Times New Roman" w:hAnsi="Times New Roman" w:eastAsia="仿宋_GB2312" w:cs="Times New Roman"/>
          <w:b w:val="0"/>
          <w:bCs/>
          <w:sz w:val="32"/>
          <w:szCs w:val="32"/>
        </w:rPr>
        <w:t>主要从事网络视频平台服务业务</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2019年全球营业额为</w:t>
      </w:r>
      <w:r>
        <w:rPr>
          <w:rFonts w:hint="eastAsia" w:eastAsia="FangSong_GB2312"/>
          <w:b w:val="0"/>
          <w:bCs/>
          <w:sz w:val="32"/>
          <w:szCs w:val="32"/>
          <w:lang w:val="en-US" w:eastAsia="zh-CN"/>
        </w:rPr>
        <w:t>（略）人民币（币种下同）</w:t>
      </w:r>
      <w:r>
        <w:rPr>
          <w:rFonts w:hint="default" w:ascii="Times New Roman" w:hAnsi="Times New Roman" w:eastAsia="仿宋_GB2312" w:cs="Times New Roman"/>
          <w:b w:val="0"/>
          <w:bCs/>
          <w:sz w:val="32"/>
          <w:szCs w:val="32"/>
        </w:rPr>
        <w:t>，中国境内营业额为</w:t>
      </w:r>
      <w:r>
        <w:rPr>
          <w:rFonts w:hint="eastAsia" w:eastAsia="FangSong_GB2312"/>
          <w:b w:val="0"/>
          <w:bCs/>
          <w:sz w:val="32"/>
          <w:szCs w:val="32"/>
          <w:lang w:val="en-US" w:eastAsia="zh-CN"/>
        </w:rPr>
        <w:t>（略）</w:t>
      </w:r>
      <w:r>
        <w:rPr>
          <w:rFonts w:hint="default" w:ascii="Times New Roman" w:hAnsi="Times New Roman" w:eastAsia="仿宋_GB2312" w:cs="Times New Roman"/>
          <w:b w:val="0"/>
          <w:bCs/>
          <w:sz w:val="32"/>
        </w:rPr>
        <w:t>。</w:t>
      </w:r>
    </w:p>
    <w:p>
      <w:pPr>
        <w:pStyle w:val="2"/>
        <w:keepNext w:val="0"/>
        <w:keepLines w:val="0"/>
        <w:pageBreakBefore w:val="0"/>
        <w:widowControl w:val="0"/>
        <w:kinsoku/>
        <w:wordWrap/>
        <w:topLinePunct w:val="0"/>
        <w:bidi w:val="0"/>
        <w:spacing w:line="594" w:lineRule="exact"/>
        <w:textAlignment w:val="auto"/>
        <w:rPr>
          <w:rFonts w:hint="default" w:ascii="Times New Roman" w:hAnsi="Times New Roman" w:eastAsia="仿宋_GB2312" w:cs="Times New Roman"/>
          <w:b w:val="0"/>
          <w:bCs w:val="0"/>
          <w:sz w:val="32"/>
          <w:lang w:val="en-US" w:eastAsia="zh-CN"/>
        </w:rPr>
      </w:pPr>
      <w:r>
        <w:rPr>
          <w:rFonts w:hint="default" w:ascii="Times New Roman" w:hAnsi="Times New Roman" w:eastAsia="仿宋_GB2312" w:cs="Times New Roman"/>
          <w:b/>
          <w:bCs w:val="0"/>
          <w:kern w:val="2"/>
          <w:sz w:val="32"/>
          <w:szCs w:val="32"/>
          <w:lang w:val="en-US" w:eastAsia="zh-CN" w:bidi="ar-SA"/>
        </w:rPr>
        <w:t>被收购方：</w:t>
      </w:r>
      <w:r>
        <w:rPr>
          <w:rFonts w:hint="eastAsia" w:ascii="Times New Roman" w:hAnsi="Times New Roman" w:eastAsia="仿宋_GB2312" w:cs="Times New Roman"/>
          <w:b/>
          <w:bCs w:val="0"/>
          <w:kern w:val="2"/>
          <w:sz w:val="32"/>
          <w:szCs w:val="32"/>
          <w:lang w:val="en-US" w:eastAsia="zh-CN" w:bidi="ar-SA"/>
        </w:rPr>
        <w:t>北京绮心</w:t>
      </w:r>
      <w:r>
        <w:rPr>
          <w:rFonts w:hint="default" w:ascii="Times New Roman" w:hAnsi="Times New Roman" w:eastAsia="仿宋_GB2312" w:cs="Times New Roman"/>
          <w:b/>
          <w:bCs w:val="0"/>
          <w:kern w:val="2"/>
          <w:sz w:val="32"/>
          <w:szCs w:val="32"/>
          <w:lang w:val="en-US" w:eastAsia="zh-CN" w:bidi="ar-SA"/>
        </w:rPr>
        <w:t>。</w:t>
      </w:r>
      <w:r>
        <w:rPr>
          <w:rFonts w:ascii="Times New Roman" w:hAnsi="Times New Roman" w:eastAsia="仿宋_GB2312" w:cs="Times New Roman"/>
          <w:b w:val="0"/>
          <w:bCs/>
          <w:sz w:val="32"/>
          <w:szCs w:val="32"/>
        </w:rPr>
        <w:t>2014年于中国北京注册成立，</w:t>
      </w:r>
      <w:r>
        <w:rPr>
          <w:rFonts w:hint="eastAsia" w:ascii="Times New Roman" w:hAnsi="Times New Roman" w:eastAsia="仿宋_GB2312" w:cs="Times New Roman"/>
          <w:b w:val="0"/>
          <w:bCs/>
          <w:sz w:val="32"/>
          <w:szCs w:val="32"/>
          <w:lang w:eastAsia="zh-CN"/>
        </w:rPr>
        <w:t>由</w:t>
      </w:r>
      <w:r>
        <w:rPr>
          <w:rFonts w:hint="eastAsia" w:eastAsia="FangSong_GB2312"/>
          <w:b w:val="0"/>
          <w:bCs/>
          <w:sz w:val="32"/>
          <w:szCs w:val="32"/>
          <w:lang w:val="en-US" w:eastAsia="zh-CN"/>
        </w:rPr>
        <w:t>（略）</w:t>
      </w:r>
      <w:r>
        <w:rPr>
          <w:rFonts w:hint="eastAsia" w:ascii="Times New Roman" w:hAnsi="Times New Roman" w:eastAsia="仿宋_GB2312" w:cs="Times New Roman"/>
          <w:b w:val="0"/>
          <w:bCs/>
          <w:sz w:val="32"/>
          <w:szCs w:val="32"/>
          <w:lang w:eastAsia="zh-CN"/>
        </w:rPr>
        <w:t>与</w:t>
      </w:r>
      <w:r>
        <w:rPr>
          <w:rFonts w:ascii="Times New Roman" w:hAnsi="Times New Roman" w:eastAsia="仿宋_GB2312" w:cs="Times New Roman"/>
          <w:b w:val="0"/>
          <w:bCs/>
          <w:sz w:val="32"/>
          <w:szCs w:val="32"/>
        </w:rPr>
        <w:t>上海米哈游网络科技股份有限公司（以下</w:t>
      </w:r>
      <w:r>
        <w:rPr>
          <w:rFonts w:ascii="Times New Roman" w:hAnsi="Times New Roman" w:eastAsia="仿宋_GB2312" w:cs="Times New Roman"/>
          <w:b w:val="0"/>
          <w:bCs w:val="0"/>
          <w:sz w:val="32"/>
          <w:szCs w:val="32"/>
        </w:rPr>
        <w:t>称米哈游）</w:t>
      </w:r>
      <w:r>
        <w:rPr>
          <w:rFonts w:hint="eastAsia" w:ascii="Times New Roman" w:hAnsi="Times New Roman" w:eastAsia="仿宋_GB2312" w:cs="Times New Roman"/>
          <w:b w:val="0"/>
          <w:bCs w:val="0"/>
          <w:sz w:val="32"/>
          <w:szCs w:val="32"/>
          <w:lang w:eastAsia="zh-CN"/>
        </w:rPr>
        <w:t>共同控制。</w:t>
      </w:r>
      <w:r>
        <w:rPr>
          <w:rFonts w:ascii="Times New Roman" w:hAnsi="Times New Roman" w:eastAsia="仿宋_GB2312" w:cs="Times New Roman"/>
          <w:b w:val="0"/>
          <w:bCs w:val="0"/>
          <w:sz w:val="32"/>
          <w:szCs w:val="32"/>
        </w:rPr>
        <w:t>主要从事以美术外包服务为内容的电子商务平台经营。2019年全球营业额和中国境内营业额均为</w:t>
      </w:r>
      <w:r>
        <w:rPr>
          <w:rFonts w:hint="eastAsia" w:eastAsia="FangSong_GB2312"/>
          <w:b w:val="0"/>
          <w:bCs/>
          <w:sz w:val="32"/>
          <w:szCs w:val="32"/>
          <w:lang w:val="en-US" w:eastAsia="zh-CN"/>
        </w:rPr>
        <w:t>（略）</w:t>
      </w:r>
      <w:r>
        <w:rPr>
          <w:rFonts w:hint="default" w:ascii="Times New Roman" w:hAnsi="Times New Roman" w:eastAsia="仿宋_GB2312" w:cs="Times New Roman"/>
          <w:b w:val="0"/>
          <w:bCs w:val="0"/>
          <w:sz w:val="32"/>
          <w:lang w:val="en-US" w:eastAsia="zh-CN"/>
        </w:rPr>
        <w:t>。</w:t>
      </w:r>
    </w:p>
    <w:p>
      <w:pPr>
        <w:pStyle w:val="9"/>
        <w:spacing w:line="594" w:lineRule="exact"/>
        <w:ind w:firstLine="641"/>
        <w:rPr>
          <w:rFonts w:hint="default" w:ascii="Times New Roman" w:hAnsi="Times New Roman" w:eastAsia="仿宋_GB2312" w:cs="Times New Roman"/>
          <w:sz w:val="32"/>
          <w:lang w:val="en-US" w:eastAsia="zh-CN"/>
        </w:rPr>
      </w:pPr>
      <w:bookmarkStart w:id="0" w:name="_GoBack"/>
      <w:r>
        <w:rPr>
          <w:rFonts w:hint="default" w:ascii="Times New Roman" w:hAnsi="Times New Roman" w:eastAsia="仿宋_GB2312" w:cs="Times New Roman"/>
          <w:b/>
          <w:bCs/>
          <w:sz w:val="32"/>
          <w:lang w:eastAsia="zh-CN"/>
        </w:rPr>
        <w:t>其他参与集中的经营者：</w:t>
      </w:r>
      <w:r>
        <w:rPr>
          <w:rFonts w:ascii="Times New Roman" w:hAnsi="Times New Roman" w:eastAsia="仿宋_GB2312"/>
          <w:b/>
          <w:bCs/>
          <w:sz w:val="32"/>
          <w:szCs w:val="32"/>
        </w:rPr>
        <w:t>米哈游。</w:t>
      </w:r>
      <w:bookmarkEnd w:id="0"/>
      <w:r>
        <w:rPr>
          <w:rFonts w:ascii="Times New Roman" w:hAnsi="Times New Roman" w:eastAsia="仿宋_GB2312"/>
          <w:b w:val="0"/>
          <w:bCs w:val="0"/>
          <w:sz w:val="32"/>
          <w:szCs w:val="32"/>
        </w:rPr>
        <w:t>2012年于中国上海注册成立</w:t>
      </w:r>
      <w:r>
        <w:rPr>
          <w:rFonts w:hint="eastAsia" w:ascii="Times New Roman" w:hAnsi="Times New Roman" w:eastAsia="仿宋_GB2312"/>
          <w:b w:val="0"/>
          <w:bCs w:val="0"/>
          <w:sz w:val="32"/>
          <w:szCs w:val="32"/>
          <w:lang w:eastAsia="zh-CN"/>
        </w:rPr>
        <w:t>，最终控制人为</w:t>
      </w:r>
      <w:r>
        <w:rPr>
          <w:rFonts w:hint="eastAsia" w:eastAsia="FangSong_GB2312"/>
          <w:b w:val="0"/>
          <w:bCs/>
          <w:sz w:val="32"/>
          <w:szCs w:val="32"/>
          <w:lang w:val="en-US" w:eastAsia="zh-CN"/>
        </w:rPr>
        <w:t>（略）</w:t>
      </w:r>
      <w:r>
        <w:rPr>
          <w:rFonts w:ascii="Times New Roman" w:hAnsi="Times New Roman" w:eastAsia="仿宋_GB2312"/>
          <w:b w:val="0"/>
          <w:bCs w:val="0"/>
          <w:sz w:val="32"/>
          <w:szCs w:val="32"/>
        </w:rPr>
        <w:t>。主要从事原创IP开发、网络游戏运营、动漫周边等经营活动。2019年米哈游的全球营业额为</w:t>
      </w:r>
      <w:r>
        <w:rPr>
          <w:rFonts w:hint="eastAsia" w:eastAsia="FangSong_GB2312"/>
          <w:b w:val="0"/>
          <w:bCs/>
          <w:sz w:val="32"/>
          <w:szCs w:val="32"/>
          <w:lang w:val="en-US" w:eastAsia="zh-CN"/>
        </w:rPr>
        <w:t>（略）</w:t>
      </w:r>
      <w:r>
        <w:rPr>
          <w:rFonts w:ascii="Times New Roman" w:hAnsi="Times New Roman" w:eastAsia="仿宋_GB2312"/>
          <w:b w:val="0"/>
          <w:bCs w:val="0"/>
          <w:sz w:val="32"/>
          <w:szCs w:val="32"/>
        </w:rPr>
        <w:t>，</w:t>
      </w:r>
      <w:r>
        <w:rPr>
          <w:rFonts w:ascii="Times New Roman" w:hAnsi="Times New Roman" w:eastAsia="仿宋_GB2312"/>
          <w:sz w:val="32"/>
          <w:szCs w:val="32"/>
        </w:rPr>
        <w:t>中国境内营业额为</w:t>
      </w:r>
      <w:r>
        <w:rPr>
          <w:rFonts w:hint="eastAsia" w:eastAsia="FangSong_GB2312"/>
          <w:b w:val="0"/>
          <w:bCs/>
          <w:sz w:val="32"/>
          <w:szCs w:val="32"/>
          <w:lang w:val="en-US" w:eastAsia="zh-CN"/>
        </w:rPr>
        <w:t>（略）</w:t>
      </w:r>
      <w:r>
        <w:rPr>
          <w:rFonts w:hint="default" w:ascii="Times New Roman" w:hAnsi="Times New Roman" w:eastAsia="仿宋_GB2312" w:cs="Times New Roman"/>
          <w:sz w:val="32"/>
          <w:lang w:val="en-US"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（二）交易概况。</w:t>
      </w:r>
    </w:p>
    <w:p>
      <w:pPr>
        <w:pStyle w:val="9"/>
        <w:keepNext w:val="0"/>
        <w:keepLines w:val="0"/>
        <w:pageBreakBefore w:val="0"/>
        <w:widowControl w:val="0"/>
        <w:kinsoku/>
        <w:wordWrap/>
        <w:topLinePunct w:val="0"/>
        <w:bidi w:val="0"/>
        <w:spacing w:line="594" w:lineRule="exact"/>
        <w:ind w:firstLine="640"/>
        <w:textAlignment w:val="auto"/>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cs="Times New Roman"/>
          <w:sz w:val="32"/>
          <w:szCs w:val="32"/>
          <w:lang w:eastAsia="zh-CN"/>
        </w:rPr>
        <w:t>本</w:t>
      </w:r>
      <w:r>
        <w:rPr>
          <w:rFonts w:hint="default" w:ascii="Times New Roman" w:hAnsi="Times New Roman" w:eastAsia="仿宋_GB2312" w:cs="Times New Roman"/>
          <w:sz w:val="32"/>
          <w:szCs w:val="32"/>
          <w:lang w:eastAsia="zh-CN"/>
        </w:rPr>
        <w:t>交易系股权收购</w:t>
      </w:r>
      <w:r>
        <w:rPr>
          <w:rFonts w:hint="eastAsia" w:ascii="Times New Roman" w:hAnsi="Times New Roman" w:cs="Times New Roman"/>
          <w:sz w:val="32"/>
          <w:szCs w:val="32"/>
          <w:lang w:eastAsia="zh-CN"/>
        </w:rPr>
        <w:t>。</w:t>
      </w:r>
      <w:r>
        <w:rPr>
          <w:rFonts w:ascii="Times New Roman" w:hAnsi="Times New Roman" w:eastAsia="仿宋_GB2312" w:cs="Times New Roman"/>
          <w:sz w:val="32"/>
          <w:szCs w:val="32"/>
        </w:rPr>
        <w:t>2019年12月12日，上海幻电与绮心、米哈游等签署《增资协议》和《股东协议》，通过认购增资取得绮心15%的股权，并取得控制权。</w:t>
      </w:r>
      <w:r>
        <w:rPr>
          <w:rFonts w:ascii="Times New Roman" w:hAnsi="Times New Roman" w:eastAsia="仿宋_GB2312" w:cs="Times New Roman"/>
          <w:bCs/>
          <w:kern w:val="0"/>
          <w:sz w:val="32"/>
          <w:szCs w:val="32"/>
        </w:rPr>
        <w:t>2020年5月14日</w:t>
      </w:r>
      <w:r>
        <w:rPr>
          <w:rFonts w:ascii="Times New Roman" w:hAnsi="Times New Roman" w:eastAsia="仿宋_GB2312" w:cs="Times New Roman"/>
          <w:sz w:val="32"/>
          <w:szCs w:val="32"/>
        </w:rPr>
        <w:t>完成股权变更登记</w:t>
      </w:r>
      <w:r>
        <w:rPr>
          <w:rFonts w:hint="default" w:ascii="Times New Roman" w:hAnsi="Times New Roman" w:eastAsia="仿宋_GB2312" w:cs="Times New Roman"/>
          <w:b w:val="0"/>
          <w:bCs w:val="0"/>
          <w:kern w:val="2"/>
          <w:sz w:val="32"/>
          <w:szCs w:val="32"/>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（一）本案构成未依法申报违法实施的经营者集中。</w:t>
      </w:r>
    </w:p>
    <w:p>
      <w:pPr>
        <w:keepNext w:val="0"/>
        <w:keepLines w:val="0"/>
        <w:pageBreakBefore w:val="0"/>
        <w:widowControl w:val="0"/>
        <w:kinsoku/>
        <w:wordWrap/>
        <w:topLinePunct w:val="0"/>
        <w:bidi w:val="0"/>
        <w:spacing w:line="594" w:lineRule="exact"/>
        <w:ind w:firstLine="628" w:firstLineChars="200"/>
        <w:jc w:val="both"/>
        <w:textAlignment w:val="auto"/>
        <w:rPr>
          <w:rFonts w:hint="default" w:ascii="Times New Roman" w:hAnsi="Times New Roman" w:eastAsia="仿宋_GB2312" w:cs="Times New Roman"/>
          <w:bCs/>
          <w:sz w:val="32"/>
          <w:szCs w:val="36"/>
          <w:lang w:eastAsia="zh-CN"/>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ascii="Times New Roman" w:hAnsi="Times New Roman" w:eastAsia="仿宋_GB2312" w:cs="Times New Roman"/>
          <w:sz w:val="32"/>
          <w:szCs w:val="32"/>
        </w:rPr>
        <w:t>2019年12月12日</w:t>
      </w:r>
      <w:r>
        <w:rPr>
          <w:rFonts w:hint="eastAsia" w:ascii="Times New Roman" w:hAnsi="Times New Roman" w:eastAsia="仿宋_GB2312" w:cs="Times New Roman"/>
          <w:b w:val="0"/>
          <w:bCs w:val="0"/>
          <w:kern w:val="2"/>
          <w:sz w:val="32"/>
          <w:szCs w:val="32"/>
          <w:lang w:val="en-US" w:eastAsia="zh-CN" w:bidi="ar-SA"/>
        </w:rPr>
        <w:t>，</w:t>
      </w:r>
      <w:r>
        <w:rPr>
          <w:rFonts w:ascii="Times New Roman" w:hAnsi="Times New Roman" w:eastAsia="仿宋_GB2312" w:cs="Times New Roman"/>
          <w:sz w:val="32"/>
          <w:szCs w:val="32"/>
        </w:rPr>
        <w:t>上海幻电</w:t>
      </w:r>
      <w:r>
        <w:rPr>
          <w:rFonts w:hint="eastAsia" w:ascii="Times New Roman" w:hAnsi="Times New Roman" w:eastAsia="仿宋_GB2312" w:cs="Times New Roman"/>
          <w:sz w:val="32"/>
          <w:szCs w:val="32"/>
          <w:lang w:eastAsia="zh-CN"/>
        </w:rPr>
        <w:t>收</w:t>
      </w:r>
      <w:r>
        <w:rPr>
          <w:rFonts w:ascii="Times New Roman" w:hAnsi="Times New Roman" w:eastAsia="仿宋_GB2312" w:cs="Times New Roman"/>
          <w:sz w:val="32"/>
          <w:szCs w:val="32"/>
        </w:rPr>
        <w:t>购绮心15%</w:t>
      </w:r>
      <w:r>
        <w:rPr>
          <w:rFonts w:hint="eastAsia" w:ascii="Times New Roman" w:hAnsi="Times New Roman" w:eastAsia="仿宋_GB2312" w:cs="Times New Roman"/>
          <w:b w:val="0"/>
          <w:bCs w:val="0"/>
          <w:kern w:val="2"/>
          <w:sz w:val="32"/>
          <w:szCs w:val="32"/>
          <w:lang w:val="en-US" w:eastAsia="zh-CN" w:bidi="ar-SA"/>
        </w:rPr>
        <w:t>股权，</w:t>
      </w:r>
      <w:r>
        <w:rPr>
          <w:rFonts w:hint="eastAsia" w:ascii="Times New Roman" w:hAnsi="Times New Roman" w:eastAsia="仿宋_GB2312" w:cs="Times New Roman"/>
          <w:bCs/>
          <w:kern w:val="2"/>
          <w:sz w:val="32"/>
          <w:szCs w:val="32"/>
          <w:lang w:val="en-US" w:eastAsia="zh-CN" w:bidi="ar-SA"/>
        </w:rPr>
        <w:t>取得共同控制权</w:t>
      </w:r>
      <w:r>
        <w:rPr>
          <w:rFonts w:hint="default" w:ascii="Times New Roman" w:hAnsi="Times New Roman" w:eastAsia="仿宋_GB2312" w:cs="Times New Roman"/>
          <w:bCs/>
          <w:kern w:val="2"/>
          <w:sz w:val="32"/>
          <w:szCs w:val="32"/>
          <w:lang w:val="en-US" w:eastAsia="zh-CN" w:bidi="ar-SA"/>
        </w:rPr>
        <w:t>，</w:t>
      </w:r>
      <w:r>
        <w:rPr>
          <w:rFonts w:hint="default" w:ascii="Times New Roman" w:hAnsi="Times New Roman" w:eastAsia="仿宋_GB2312" w:cs="Times New Roman"/>
          <w:bCs/>
          <w:sz w:val="32"/>
          <w:szCs w:val="36"/>
          <w:lang w:eastAsia="zh-CN"/>
        </w:rPr>
        <w:t>属于《反垄断法》第二十条规定的经营者集中。</w:t>
      </w:r>
    </w:p>
    <w:p>
      <w:pPr>
        <w:pStyle w:val="9"/>
        <w:keepNext w:val="0"/>
        <w:keepLines w:val="0"/>
        <w:pageBreakBefore w:val="0"/>
        <w:widowControl w:val="0"/>
        <w:kinsoku/>
        <w:wordWrap/>
        <w:topLinePunct w:val="0"/>
        <w:bidi w:val="0"/>
        <w:adjustRightInd w:val="0"/>
        <w:spacing w:line="594" w:lineRule="exact"/>
        <w:ind w:left="0" w:firstLine="643"/>
        <w:textAlignment w:val="auto"/>
        <w:rPr>
          <w:rFonts w:hint="default" w:ascii="Times New Roman" w:hAnsi="Times New Roman" w:eastAsia="仿宋_GB2312" w:cs="Times New Roman"/>
          <w:bCs/>
          <w:kern w:val="2"/>
          <w:sz w:val="32"/>
          <w:szCs w:val="32"/>
          <w:u w:val="none"/>
          <w:lang w:val="en-US" w:eastAsia="zh-CN" w:bidi="ar-SA"/>
        </w:rPr>
      </w:pPr>
      <w:r>
        <w:rPr>
          <w:rFonts w:hint="default" w:ascii="Times New Roman" w:hAnsi="Times New Roman" w:eastAsia="仿宋_GB2312" w:cs="Times New Roman"/>
          <w:bCs/>
          <w:sz w:val="32"/>
          <w:szCs w:val="32"/>
        </w:rPr>
        <w:t>2019年，上海幻电的全球营业额为</w:t>
      </w:r>
      <w:r>
        <w:rPr>
          <w:rFonts w:hint="eastAsia" w:eastAsia="FangSong_GB2312"/>
          <w:b w:val="0"/>
          <w:bCs/>
          <w:sz w:val="32"/>
          <w:szCs w:val="32"/>
          <w:lang w:val="en-US" w:eastAsia="zh-CN"/>
        </w:rPr>
        <w:t>（略）</w:t>
      </w:r>
      <w:r>
        <w:rPr>
          <w:rFonts w:hint="default" w:ascii="Times New Roman" w:hAnsi="Times New Roman" w:eastAsia="仿宋_GB2312" w:cs="Times New Roman"/>
          <w:bCs/>
          <w:sz w:val="32"/>
          <w:szCs w:val="32"/>
        </w:rPr>
        <w:t>，中国境内营业额为</w:t>
      </w:r>
      <w:r>
        <w:rPr>
          <w:rFonts w:hint="eastAsia" w:eastAsia="FangSong_GB2312"/>
          <w:b w:val="0"/>
          <w:bCs/>
          <w:sz w:val="32"/>
          <w:szCs w:val="32"/>
          <w:lang w:val="en-US" w:eastAsia="zh-CN"/>
        </w:rPr>
        <w:t>（略）</w:t>
      </w:r>
      <w:r>
        <w:rPr>
          <w:rFonts w:hint="default" w:ascii="Times New Roman" w:hAnsi="Times New Roman" w:eastAsia="仿宋_GB2312" w:cs="Times New Roman"/>
          <w:bCs/>
          <w:sz w:val="32"/>
          <w:szCs w:val="32"/>
        </w:rPr>
        <w:t>；其他参与集中的经营者米哈游全球营业额为</w:t>
      </w:r>
      <w:r>
        <w:rPr>
          <w:rFonts w:hint="eastAsia" w:eastAsia="FangSong_GB2312"/>
          <w:b w:val="0"/>
          <w:bCs/>
          <w:sz w:val="32"/>
          <w:szCs w:val="32"/>
          <w:lang w:val="en-US" w:eastAsia="zh-CN"/>
        </w:rPr>
        <w:t>（略）</w:t>
      </w:r>
      <w:r>
        <w:rPr>
          <w:rFonts w:hint="default" w:ascii="Times New Roman" w:hAnsi="Times New Roman" w:eastAsia="仿宋_GB2312" w:cs="Times New Roman"/>
          <w:bCs/>
          <w:sz w:val="32"/>
          <w:szCs w:val="32"/>
        </w:rPr>
        <w:t>，中国境内营业额均为</w:t>
      </w:r>
      <w:r>
        <w:rPr>
          <w:rFonts w:hint="eastAsia" w:eastAsia="FangSong_GB2312"/>
          <w:b w:val="0"/>
          <w:bCs/>
          <w:sz w:val="32"/>
          <w:szCs w:val="32"/>
          <w:lang w:val="en-US" w:eastAsia="zh-CN"/>
        </w:rPr>
        <w:t>（略）</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bCs/>
          <w:kern w:val="2"/>
          <w:sz w:val="32"/>
          <w:szCs w:val="32"/>
          <w:u w:val="none"/>
          <w:lang w:val="en-US" w:eastAsia="zh-CN" w:bidi="ar-SA"/>
        </w:rPr>
        <w:t>达到《国务院关于经营者集中申报标准的规定》第三条规定的申报标准，属于应当申报的情形。</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《反垄断法》第二十一条规定</w:t>
      </w:r>
      <w:r>
        <w:rPr>
          <w:rFonts w:hint="default" w:ascii="Times New Roman" w:hAnsi="Times New Roman" w:eastAsia="仿宋_GB2312" w:cs="Times New Roman"/>
          <w:sz w:val="32"/>
          <w:szCs w:val="32"/>
          <w:lang w:eastAsia="zh-CN"/>
        </w:rPr>
        <w:t>“经</w:t>
      </w:r>
      <w:r>
        <w:rPr>
          <w:rFonts w:hint="default" w:ascii="Times New Roman" w:hAnsi="Times New Roman" w:eastAsia="仿宋_GB2312" w:cs="Times New Roman"/>
          <w:sz w:val="32"/>
          <w:szCs w:val="32"/>
        </w:rPr>
        <w:t>营者集中达到国</w:t>
      </w:r>
      <w:r>
        <w:rPr>
          <w:rFonts w:hint="default" w:ascii="Times New Roman" w:hAnsi="Times New Roman" w:eastAsia="仿宋_GB2312" w:cs="Times New Roman"/>
          <w:bCs/>
          <w:kern w:val="2"/>
          <w:sz w:val="32"/>
          <w:szCs w:val="32"/>
          <w:u w:val="none"/>
          <w:lang w:val="en-US" w:eastAsia="zh-CN" w:bidi="ar-SA"/>
        </w:rPr>
        <w:t>务院规定的申报标准的，经营者应当事先向国务院反垄断执法机构申报，未申报的不得实施集中”。</w:t>
      </w:r>
      <w:r>
        <w:rPr>
          <w:rFonts w:ascii="Times New Roman" w:hAnsi="Times New Roman" w:eastAsia="仿宋_GB2312" w:cs="Times New Roman"/>
          <w:sz w:val="32"/>
          <w:szCs w:val="32"/>
        </w:rPr>
        <w:t>2020年5月14</w:t>
      </w:r>
      <w:r>
        <w:rPr>
          <w:rFonts w:hint="default" w:ascii="Times New Roman" w:hAnsi="Times New Roman" w:eastAsia="仿宋_GB2312" w:cs="Times New Roman"/>
          <w:bCs/>
          <w:sz w:val="32"/>
        </w:rPr>
        <w:t>日</w:t>
      </w:r>
      <w:r>
        <w:rPr>
          <w:rFonts w:hint="default" w:ascii="Times New Roman" w:hAnsi="Times New Roman" w:eastAsia="仿宋_GB2312" w:cs="Times New Roman"/>
          <w:bCs/>
          <w:sz w:val="32"/>
          <w:szCs w:val="32"/>
        </w:rPr>
        <w:t>，</w:t>
      </w:r>
      <w:r>
        <w:rPr>
          <w:rFonts w:hint="eastAsia" w:eastAsia="仿宋_GB2312" w:cs="Times New Roman"/>
          <w:b w:val="0"/>
          <w:bCs w:val="0"/>
          <w:kern w:val="2"/>
          <w:sz w:val="32"/>
          <w:szCs w:val="32"/>
          <w:lang w:val="en-US" w:eastAsia="zh-CN" w:bidi="ar-SA"/>
        </w:rPr>
        <w:t>上述交易</w:t>
      </w:r>
      <w:r>
        <w:rPr>
          <w:rFonts w:hint="default" w:ascii="Times New Roman" w:hAnsi="Times New Roman" w:eastAsia="仿宋_GB2312" w:cs="Times New Roman"/>
          <w:b w:val="0"/>
          <w:bCs w:val="0"/>
          <w:kern w:val="2"/>
          <w:sz w:val="32"/>
          <w:szCs w:val="32"/>
          <w:lang w:val="en-US" w:eastAsia="zh-CN" w:bidi="ar-SA"/>
        </w:rPr>
        <w:t>完成股权变更登记</w:t>
      </w:r>
      <w:r>
        <w:rPr>
          <w:rFonts w:hint="default" w:ascii="Times New Roman" w:hAnsi="Times New Roman" w:eastAsia="仿宋_GB2312" w:cs="Times New Roman"/>
          <w:bCs/>
          <w:kern w:val="2"/>
          <w:sz w:val="32"/>
          <w:szCs w:val="32"/>
          <w:lang w:val="en-US" w:eastAsia="zh-CN" w:bidi="ar-SA"/>
        </w:rPr>
        <w:t>，</w:t>
      </w:r>
      <w:r>
        <w:rPr>
          <w:rFonts w:hint="default" w:ascii="Times New Roman" w:hAnsi="Times New Roman" w:eastAsia="仿宋_GB2312" w:cs="Times New Roman"/>
          <w:sz w:val="32"/>
          <w:szCs w:val="32"/>
          <w:lang w:val="en-US" w:eastAsia="zh-CN"/>
        </w:rPr>
        <w:t>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eastAsia="仿宋_GB2312" w:cs="Times New Roman"/>
          <w:b w:val="0"/>
          <w:bCs w:val="0"/>
          <w:kern w:val="2"/>
          <w:sz w:val="32"/>
          <w:szCs w:val="32"/>
          <w:lang w:val="en-US" w:eastAsia="zh-CN" w:bidi="ar-SA"/>
        </w:rPr>
        <w:t>上海幻电</w:t>
      </w:r>
      <w:r>
        <w:rPr>
          <w:rFonts w:hint="default" w:ascii="Times New Roman" w:hAnsi="Times New Roman" w:eastAsia="仿宋_GB2312" w:cs="Times New Roman"/>
          <w:b w:val="0"/>
          <w:bCs w:val="0"/>
          <w:kern w:val="2"/>
          <w:sz w:val="32"/>
          <w:szCs w:val="32"/>
          <w:lang w:val="en-US" w:eastAsia="zh-CN" w:bidi="ar-SA"/>
        </w:rPr>
        <w:t>收购</w:t>
      </w:r>
      <w:r>
        <w:rPr>
          <w:rFonts w:hint="eastAsia" w:eastAsia="仿宋_GB2312" w:cs="Times New Roman"/>
          <w:b w:val="0"/>
          <w:bCs w:val="0"/>
          <w:kern w:val="2"/>
          <w:sz w:val="32"/>
          <w:szCs w:val="32"/>
          <w:lang w:val="en-US" w:eastAsia="zh-CN" w:bidi="ar-SA"/>
        </w:rPr>
        <w:t>北京绮心</w:t>
      </w:r>
      <w:r>
        <w:rPr>
          <w:rFonts w:hint="default" w:ascii="Times New Roman" w:hAnsi="Times New Roman" w:eastAsia="仿宋_GB2312" w:cs="Times New Roman"/>
          <w:kern w:val="2"/>
          <w:sz w:val="32"/>
          <w:szCs w:val="32"/>
          <w:lang w:eastAsia="zh-CN"/>
        </w:rPr>
        <w:t>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w:t>
      </w:r>
      <w:r>
        <w:rPr>
          <w:rFonts w:hint="default" w:ascii="Times New Roman" w:hAnsi="Times New Roman" w:eastAsia="仿宋_GB2312" w:cs="Times New Roman"/>
          <w:bCs/>
          <w:color w:val="000000"/>
          <w:kern w:val="2"/>
          <w:sz w:val="32"/>
          <w:szCs w:val="32"/>
          <w:lang w:eastAsia="zh-CN"/>
        </w:rPr>
        <w:t>情况和评估结论，本机关</w:t>
      </w:r>
      <w:r>
        <w:rPr>
          <w:rFonts w:hint="eastAsia" w:eastAsia="仿宋_GB2312" w:cs="Times New Roman"/>
          <w:bCs/>
          <w:color w:val="000000"/>
          <w:kern w:val="2"/>
          <w:sz w:val="32"/>
          <w:szCs w:val="32"/>
          <w:lang w:eastAsia="zh-CN"/>
        </w:rPr>
        <w:t>决定</w:t>
      </w:r>
      <w:r>
        <w:rPr>
          <w:rFonts w:hint="default" w:ascii="Times New Roman" w:hAnsi="Times New Roman" w:eastAsia="仿宋_GB2312" w:cs="Times New Roman"/>
          <w:bCs/>
          <w:color w:val="000000"/>
          <w:kern w:val="2"/>
          <w:sz w:val="32"/>
          <w:szCs w:val="32"/>
          <w:lang w:eastAsia="zh-CN"/>
        </w:rPr>
        <w:t>给予</w:t>
      </w:r>
      <w:r>
        <w:rPr>
          <w:rFonts w:hint="eastAsia" w:eastAsia="仿宋_GB2312" w:cs="Times New Roman"/>
          <w:bCs/>
          <w:color w:val="000000"/>
          <w:kern w:val="2"/>
          <w:sz w:val="32"/>
          <w:szCs w:val="32"/>
          <w:lang w:val="en-US" w:eastAsia="zh-CN"/>
        </w:rPr>
        <w:t>上海幻电50</w:t>
      </w:r>
      <w:r>
        <w:rPr>
          <w:rFonts w:hint="default" w:ascii="Times New Roman" w:hAnsi="Times New Roman" w:eastAsia="仿宋_GB2312" w:cs="Times New Roman"/>
          <w:bCs/>
          <w:color w:val="000000"/>
          <w:kern w:val="2"/>
          <w:sz w:val="32"/>
          <w:szCs w:val="32"/>
          <w:lang w:eastAsia="zh-CN"/>
        </w:rPr>
        <w:t>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highlight w:val="yellow"/>
          <w:lang w:eastAsia="zh-CN"/>
        </w:rPr>
      </w:pPr>
      <w:r>
        <w:rPr>
          <w:rFonts w:hint="default" w:ascii="Times New Roman" w:hAnsi="Times New Roman" w:eastAsia="仿宋_GB2312" w:cs="Times New Roman"/>
          <w:bCs/>
          <w:color w:val="000000"/>
          <w:kern w:val="2"/>
          <w:sz w:val="32"/>
          <w:szCs w:val="32"/>
          <w:lang w:eastAsia="zh-CN"/>
        </w:rPr>
        <w:t>当事人应当自收到本行政处罚决定书之日起十五日内，携缴款码到</w:t>
      </w:r>
      <w:r>
        <w:rPr>
          <w:rFonts w:hint="default" w:ascii="Times New Roman" w:hAnsi="Times New Roman" w:eastAsia="仿宋_GB2312" w:cs="Times New Roman"/>
          <w:bCs/>
          <w:color w:val="000000"/>
          <w:kern w:val="2"/>
          <w:sz w:val="32"/>
          <w:szCs w:val="32"/>
          <w:lang w:val="en-US" w:eastAsia="zh-CN"/>
        </w:rPr>
        <w:t>15家中央财政非税收入收缴代理银行（工、农、中、建、交、中信、光大、招商、邮储、华夏、平安、兴业、民生、广发、浙商）任一银行网点、网上银行缴纳罚款。</w:t>
      </w:r>
      <w:r>
        <w:rPr>
          <w:rFonts w:hint="default" w:ascii="Times New Roman" w:hAnsi="Times New Roman" w:eastAsia="仿宋_GB2312" w:cs="Times New Roman"/>
          <w:bCs/>
          <w:color w:val="000000"/>
          <w:kern w:val="2"/>
          <w:sz w:val="32"/>
          <w:szCs w:val="32"/>
          <w:lang w:eastAsia="zh-CN"/>
        </w:rPr>
        <w:t>缴款码：</w:t>
      </w:r>
      <w:r>
        <w:rPr>
          <w:rFonts w:hint="eastAsia" w:eastAsia="FangSong_GB2312"/>
          <w:b w:val="0"/>
          <w:bCs/>
          <w:sz w:val="32"/>
          <w:szCs w:val="32"/>
          <w:lang w:val="en-US" w:eastAsia="zh-CN"/>
        </w:rPr>
        <w:t>（略）</w:t>
      </w:r>
      <w:r>
        <w:rPr>
          <w:rFonts w:hint="eastAsia" w:eastAsia="仿宋_GB2312" w:cs="Times New Roman"/>
          <w:bCs/>
          <w:color w:val="000000"/>
          <w:kern w:val="2"/>
          <w:sz w:val="32"/>
          <w:szCs w:val="32"/>
          <w:lang w:val="en-US" w:eastAsia="zh-CN"/>
        </w:rPr>
        <w:t>。到期不缴纳罚款的，依据《行政处罚法》第七十二条的规定，本机关将每日按罚款数额的百分之三加处罚款</w:t>
      </w:r>
      <w:r>
        <w:rPr>
          <w:rFonts w:hint="default" w:ascii="Times New Roman" w:hAnsi="Times New Roman" w:eastAsia="仿宋_GB2312" w:cs="Times New Roman"/>
          <w:sz w:val="32"/>
          <w:szCs w:val="32"/>
          <w:lang w:val="en-US" w:eastAsia="zh-CN"/>
        </w:rPr>
        <w:t>，</w:t>
      </w:r>
      <w:r>
        <w:rPr>
          <w:rFonts w:hint="eastAsia" w:eastAsia="仿宋_GB2312" w:cs="Times New Roman"/>
          <w:bCs/>
          <w:color w:val="000000"/>
          <w:kern w:val="2"/>
          <w:sz w:val="32"/>
          <w:szCs w:val="32"/>
          <w:lang w:val="en-US" w:eastAsia="zh-CN"/>
        </w:rPr>
        <w:t>并依法申请人民法院强制执行。</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 xml:space="preserve">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eastAsia" w:eastAsia="仿宋_GB2312" w:cs="Times New Roman"/>
          <w:kern w:val="2"/>
          <w:sz w:val="32"/>
          <w:szCs w:val="32"/>
          <w:lang w:val="en-US" w:eastAsia="zh-CN"/>
        </w:rPr>
        <w:t>2</w:t>
      </w:r>
      <w:r>
        <w:rPr>
          <w:rFonts w:hint="default" w:ascii="Times New Roman" w:hAnsi="Times New Roman" w:eastAsia="仿宋_GB2312" w:cs="Times New Roman"/>
          <w:kern w:val="2"/>
          <w:sz w:val="32"/>
          <w:szCs w:val="32"/>
        </w:rPr>
        <w:t>年</w:t>
      </w:r>
      <w:r>
        <w:rPr>
          <w:rFonts w:hint="eastAsia"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31</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cs="Times New Roman"/>
        </w:rPr>
      </w:pPr>
      <w:r>
        <w:rPr>
          <w:rFonts w:hint="default" w:ascii="Times New Roman" w:hAnsi="Times New Roman" w:eastAsia="仿宋_GB2312" w:cs="Times New Roman"/>
          <w:kern w:val="2"/>
          <w:sz w:val="32"/>
          <w:szCs w:val="32"/>
        </w:rPr>
        <w:t>（此件公开发布）</w:t>
      </w:r>
    </w:p>
    <w:p>
      <w:pPr>
        <w:keepNext w:val="0"/>
        <w:keepLines w:val="0"/>
        <w:pageBreakBefore w:val="0"/>
        <w:widowControl w:val="0"/>
        <w:kinsoku/>
        <w:wordWrap/>
        <w:topLinePunct w:val="0"/>
        <w:bidi w:val="0"/>
        <w:spacing w:line="594" w:lineRule="exact"/>
        <w:textAlignment w:val="auto"/>
        <w:rPr>
          <w:rFonts w:hint="default" w:ascii="Times New Roman" w:hAnsi="Times New Roman" w:cs="Times New Roman"/>
        </w:rPr>
      </w:pPr>
    </w:p>
    <w:sectPr>
      <w:footerReference r:id="rId3" w:type="default"/>
      <w:footerReference r:id="rId4" w:type="even"/>
      <w:pgSz w:w="11906" w:h="16838"/>
      <w:pgMar w:top="18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66991"/>
    <w:rsid w:val="08EA0B7D"/>
    <w:rsid w:val="238405CE"/>
    <w:rsid w:val="251F784E"/>
    <w:rsid w:val="27721479"/>
    <w:rsid w:val="331B0238"/>
    <w:rsid w:val="3D973AFE"/>
    <w:rsid w:val="477829E6"/>
    <w:rsid w:val="49337785"/>
    <w:rsid w:val="50F656A6"/>
    <w:rsid w:val="52820D71"/>
    <w:rsid w:val="54EF450A"/>
    <w:rsid w:val="552762F9"/>
    <w:rsid w:val="56EF3EF6"/>
    <w:rsid w:val="5CDE1D22"/>
    <w:rsid w:val="5FFF96AF"/>
    <w:rsid w:val="611E177A"/>
    <w:rsid w:val="6EC37903"/>
    <w:rsid w:val="70761C6D"/>
    <w:rsid w:val="71047730"/>
    <w:rsid w:val="76015E5A"/>
    <w:rsid w:val="7F3A7651"/>
    <w:rsid w:val="7FBFD1B0"/>
    <w:rsid w:val="9DF7CE3D"/>
    <w:rsid w:val="BFB69E8A"/>
    <w:rsid w:val="FF5DE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xielin</dc:creator>
  <cp:lastModifiedBy>张砚哲</cp:lastModifiedBy>
  <cp:lastPrinted>2022-07-06T00:23:00Z</cp:lastPrinted>
  <dcterms:modified xsi:type="dcterms:W3CDTF">2022-07-05T17:51:08Z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