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2145097316"/>
        </w:rPr>
        <w:t>国家市场监督管理总</w:t>
      </w:r>
      <w:r>
        <w:rPr>
          <w:rFonts w:hint="default" w:ascii="Times New Roman" w:hAnsi="Times New Roman" w:eastAsia="黑体" w:cs="Times New Roman"/>
          <w:bCs/>
          <w:color w:val="000000"/>
          <w:spacing w:val="1"/>
          <w:kern w:val="0"/>
          <w:sz w:val="52"/>
          <w:szCs w:val="52"/>
          <w:fitText w:val="5742" w:id="2145097316"/>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3"/>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lang w:eastAsia="zh-CN"/>
        </w:rPr>
        <w:t>腾讯控股</w:t>
      </w:r>
      <w:r>
        <w:rPr>
          <w:rFonts w:hint="default" w:ascii="Times New Roman" w:hAnsi="Times New Roman" w:eastAsia="仿宋_GB2312" w:cs="Times New Roman"/>
          <w:sz w:val="32"/>
          <w:lang w:val="en-US" w:eastAsia="zh-CN"/>
        </w:rPr>
        <w:t>有限公司（Tencent Holding</w:t>
      </w:r>
      <w:r>
        <w:rPr>
          <w:rFonts w:hint="eastAsia" w:ascii="Times New Roman" w:hAnsi="Times New Roman" w:eastAsia="仿宋_GB2312" w:cs="Times New Roman"/>
          <w:sz w:val="32"/>
          <w:lang w:val="en-US" w:eastAsia="zh-CN"/>
        </w:rPr>
        <w:t>s</w:t>
      </w:r>
      <w:r>
        <w:rPr>
          <w:rFonts w:hint="default" w:ascii="Times New Roman" w:hAnsi="Times New Roman" w:eastAsia="仿宋_GB2312" w:cs="Times New Roman"/>
          <w:sz w:val="32"/>
          <w:lang w:val="en-US" w:eastAsia="zh-CN"/>
        </w:rPr>
        <w:t xml:space="preserve"> Limited）</w:t>
      </w:r>
    </w:p>
    <w:p>
      <w:pPr>
        <w:pStyle w:val="3"/>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sz w:val="32"/>
          <w:lang w:val="en-US" w:eastAsia="zh-CN"/>
        </w:rPr>
        <w:t xml:space="preserve">Cricket Square Hutchins Drive P.O.Box 2681 Grand Cayman KYI-1111 Cayman Islands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color w:val="auto"/>
          <w:sz w:val="32"/>
          <w:lang w:val="en-US" w:eastAsia="zh-CN"/>
        </w:rPr>
        <w:t>8月12日</w:t>
      </w: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lang w:val="en-US" w:eastAsia="zh-CN"/>
        </w:rPr>
        <w:t>腾讯控股</w:t>
      </w:r>
      <w:r>
        <w:rPr>
          <w:rFonts w:hint="default" w:ascii="Times New Roman" w:hAnsi="Times New Roman" w:eastAsia="仿宋_GB2312" w:cs="Times New Roman"/>
          <w:sz w:val="32"/>
          <w:lang w:val="en-US" w:eastAsia="zh-CN"/>
        </w:rPr>
        <w:t>有限公司（以下简称</w:t>
      </w:r>
      <w:r>
        <w:rPr>
          <w:rFonts w:hint="eastAsia" w:ascii="Times New Roman" w:hAnsi="Times New Roman" w:eastAsia="仿宋_GB2312" w:cs="Times New Roman"/>
          <w:sz w:val="32"/>
          <w:lang w:val="en-US" w:eastAsia="zh-CN"/>
        </w:rPr>
        <w:t>腾讯</w:t>
      </w:r>
      <w:r>
        <w:rPr>
          <w:rFonts w:hint="default" w:ascii="Times New Roman" w:hAnsi="Times New Roman" w:eastAsia="仿宋_GB2312" w:cs="Times New Roman"/>
          <w:sz w:val="32"/>
          <w:lang w:val="en-US" w:eastAsia="zh-CN"/>
        </w:rPr>
        <w:t>）</w:t>
      </w:r>
      <w:r>
        <w:rPr>
          <w:rFonts w:hint="eastAsia" w:ascii="Times New Roman" w:hAnsi="Times New Roman" w:eastAsia="仿宋_GB2312" w:cs="Times New Roman"/>
          <w:sz w:val="32"/>
          <w:lang w:val="en-US" w:eastAsia="zh-CN"/>
        </w:rPr>
        <w:t>收购</w:t>
      </w:r>
      <w:r>
        <w:rPr>
          <w:rFonts w:hint="eastAsia" w:ascii="Times New Roman" w:hAnsi="Times New Roman" w:eastAsia="仿宋_GB2312" w:cs="仿宋_GB2312"/>
          <w:sz w:val="32"/>
          <w:szCs w:val="32"/>
          <w:highlight w:val="none"/>
          <w:lang w:val="en-US" w:eastAsia="zh-CN"/>
        </w:rPr>
        <w:t>Okaybuy (China) Holding Inc.</w:t>
      </w:r>
      <w:r>
        <w:rPr>
          <w:rFonts w:hint="default" w:ascii="Times New Roman" w:hAnsi="Times New Roman" w:eastAsia="仿宋_GB2312" w:cs="Times New Roman"/>
          <w:sz w:val="32"/>
          <w:lang w:val="en-US" w:eastAsia="zh-CN"/>
        </w:rPr>
        <w:t>（以下简称</w:t>
      </w:r>
      <w:r>
        <w:rPr>
          <w:rFonts w:hint="eastAsia" w:ascii="Times New Roman" w:hAnsi="Times New Roman" w:eastAsia="仿宋_GB2312" w:cs="Times New Roman"/>
          <w:sz w:val="32"/>
          <w:lang w:val="en-US" w:eastAsia="zh-CN"/>
        </w:rPr>
        <w:t>好乐买</w:t>
      </w:r>
      <w:r>
        <w:rPr>
          <w:rFonts w:hint="default" w:ascii="Times New Roman" w:hAnsi="Times New Roman" w:eastAsia="仿宋_GB2312" w:cs="Times New Roman"/>
          <w:sz w:val="32"/>
          <w:lang w:val="en-US" w:eastAsia="zh-CN"/>
        </w:rPr>
        <w:t>）</w:t>
      </w:r>
      <w:r>
        <w:rPr>
          <w:rFonts w:hint="eastAsia" w:ascii="Times New Roman" w:hAnsi="Times New Roman" w:eastAsia="仿宋_GB2312" w:cs="Times New Roman"/>
          <w:sz w:val="32"/>
          <w:lang w:val="en-US" w:eastAsia="zh-CN"/>
        </w:rPr>
        <w:t>股权</w:t>
      </w:r>
      <w:r>
        <w:rPr>
          <w:rFonts w:hint="default" w:ascii="Times New Roman" w:hAnsi="Times New Roman" w:eastAsia="仿宋_GB2312" w:cs="Times New Roman"/>
          <w:sz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违法实施经营者集中案</w:t>
      </w:r>
      <w:r>
        <w:rPr>
          <w:rFonts w:hint="default" w:ascii="Times New Roman" w:hAnsi="Times New Roman" w:eastAsia="仿宋_GB2312" w:cs="Times New Roman"/>
          <w:color w:val="auto"/>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auto"/>
          <w:kern w:val="2"/>
          <w:sz w:val="32"/>
          <w:szCs w:val="32"/>
        </w:rPr>
        <w:t>经查，该案构成</w:t>
      </w:r>
      <w:r>
        <w:rPr>
          <w:rFonts w:hint="eastAsia"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eastAsia" w:ascii="Times New Roman" w:hAnsi="Times New Roman" w:eastAsia="仿宋_GB2312" w:cs="Times New Roman"/>
          <w:color w:val="auto"/>
          <w:kern w:val="2"/>
          <w:sz w:val="32"/>
          <w:szCs w:val="32"/>
          <w:lang w:val="en-US" w:eastAsia="zh-CN"/>
        </w:rPr>
        <w:t>腾讯</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lang w:val="en-US" w:eastAsia="zh-CN"/>
        </w:rPr>
        <w:t>腾讯</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suppressAutoHyphens/>
        <w:overflowPunct w:val="0"/>
        <w:autoSpaceDE w:val="0"/>
        <w:autoSpaceDN w:val="0"/>
        <w:adjustRightInd w:val="0"/>
        <w:spacing w:after="160" w:line="594" w:lineRule="exact"/>
        <w:ind w:firstLine="628"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bCs w:val="0"/>
          <w:kern w:val="2"/>
          <w:sz w:val="32"/>
          <w:szCs w:val="32"/>
          <w:lang w:val="en-US" w:eastAsia="zh-CN" w:bidi="ar-SA"/>
        </w:rPr>
        <w:t>收购方：腾讯。</w:t>
      </w:r>
      <w:r>
        <w:rPr>
          <w:rFonts w:hint="default" w:ascii="Times New Roman" w:hAnsi="Times New Roman" w:eastAsia="仿宋_GB2312" w:cs="Times New Roman"/>
          <w:b w:val="0"/>
          <w:bCs/>
          <w:sz w:val="32"/>
          <w:lang w:val="en-US" w:eastAsia="zh-CN"/>
        </w:rPr>
        <w:t>1999</w:t>
      </w:r>
      <w:r>
        <w:rPr>
          <w:rFonts w:hint="default" w:ascii="Times New Roman" w:hAnsi="Times New Roman" w:eastAsia="仿宋_GB2312" w:cs="Times New Roman"/>
          <w:b w:val="0"/>
          <w:bCs/>
          <w:sz w:val="32"/>
          <w:lang w:eastAsia="zh-CN"/>
        </w:rPr>
        <w:t>年</w:t>
      </w:r>
      <w:r>
        <w:rPr>
          <w:rFonts w:hint="default" w:ascii="Times New Roman" w:hAnsi="Times New Roman" w:eastAsia="仿宋_GB2312" w:cs="Times New Roman"/>
          <w:b w:val="0"/>
          <w:bCs/>
          <w:sz w:val="32"/>
          <w:lang w:val="en-US" w:eastAsia="zh-CN"/>
        </w:rPr>
        <w:t>11月于</w:t>
      </w:r>
      <w:r>
        <w:rPr>
          <w:rFonts w:hint="default" w:ascii="Times New Roman" w:hAnsi="Times New Roman" w:eastAsia="仿宋_GB2312" w:cs="Times New Roman"/>
          <w:b w:val="0"/>
          <w:bCs/>
          <w:kern w:val="2"/>
          <w:sz w:val="32"/>
          <w:szCs w:val="32"/>
          <w:lang w:val="en-US" w:eastAsia="zh-CN" w:bidi="ar-SA"/>
        </w:rPr>
        <w:t>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w:t>
      </w:r>
      <w:r>
        <w:rPr>
          <w:rFonts w:hint="default" w:ascii="Times New Roman" w:hAnsi="Times New Roman" w:eastAsia="仿宋_GB2312" w:cs="Times New Roman"/>
          <w:b w:val="0"/>
          <w:bCs/>
          <w:sz w:val="32"/>
          <w:szCs w:val="32"/>
        </w:rPr>
        <w:t>。201</w:t>
      </w:r>
      <w:r>
        <w:rPr>
          <w:rFonts w:hint="eastAsia"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年全球</w:t>
      </w:r>
      <w:r>
        <w:rPr>
          <w:rFonts w:hint="default" w:ascii="Times New Roman" w:hAnsi="Times New Roman" w:eastAsia="仿宋_GB2312" w:cs="Times New Roman"/>
          <w:b w:val="0"/>
          <w:bCs/>
          <w:sz w:val="32"/>
          <w:szCs w:val="32"/>
          <w:lang w:eastAsia="zh-CN"/>
        </w:rPr>
        <w:t>营业额为</w:t>
      </w:r>
      <w:r>
        <w:rPr>
          <w:rFonts w:hint="eastAsia" w:eastAsia="FangSong_GB2312"/>
          <w:b w:val="0"/>
          <w:bCs/>
          <w:sz w:val="32"/>
          <w:szCs w:val="32"/>
          <w:lang w:val="en-US" w:eastAsia="zh-CN"/>
        </w:rPr>
        <w:t>（略）人民币（币种下同）</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中国境内营业额为</w:t>
      </w:r>
      <w:r>
        <w:rPr>
          <w:rFonts w:hint="eastAsia" w:eastAsia="FangSong_GB2312"/>
          <w:b w:val="0"/>
          <w:bCs/>
          <w:sz w:val="32"/>
          <w:szCs w:val="32"/>
          <w:lang w:val="en-US" w:eastAsia="zh-CN"/>
        </w:rPr>
        <w:t>（略）</w:t>
      </w:r>
      <w:r>
        <w:rPr>
          <w:rFonts w:hint="default" w:ascii="Times New Roman" w:hAnsi="Times New Roman" w:eastAsia="仿宋_GB2312" w:cs="Times New Roman"/>
          <w:b w:val="0"/>
          <w:bCs/>
          <w:sz w:val="32"/>
          <w:szCs w:val="32"/>
        </w:rPr>
        <w:t>。</w:t>
      </w:r>
    </w:p>
    <w:p>
      <w:pPr>
        <w:pStyle w:val="9"/>
        <w:spacing w:line="240" w:lineRule="auto"/>
        <w:ind w:firstLine="643"/>
        <w:rPr>
          <w:rFonts w:ascii="Times New Roman" w:hAnsi="Times New Roman"/>
          <w:b w:val="0"/>
          <w:bCs/>
        </w:rPr>
      </w:pPr>
      <w:r>
        <w:rPr>
          <w:rFonts w:hint="default" w:ascii="Times New Roman" w:hAnsi="Times New Roman" w:eastAsia="仿宋_GB2312" w:cs="Times New Roman"/>
          <w:b/>
          <w:bCs w:val="0"/>
          <w:kern w:val="2"/>
          <w:sz w:val="32"/>
          <w:szCs w:val="32"/>
          <w:lang w:val="en-US" w:eastAsia="zh-CN" w:bidi="ar-SA"/>
        </w:rPr>
        <w:t>被收购方：</w:t>
      </w:r>
      <w:r>
        <w:rPr>
          <w:rFonts w:hint="eastAsia" w:ascii="Times New Roman" w:hAnsi="Times New Roman" w:eastAsia="仿宋_GB2312" w:cs="Times New Roman"/>
          <w:b/>
          <w:bCs w:val="0"/>
          <w:kern w:val="2"/>
          <w:sz w:val="32"/>
          <w:szCs w:val="32"/>
          <w:lang w:val="en-US" w:eastAsia="zh-CN" w:bidi="ar-SA"/>
        </w:rPr>
        <w:t>好乐买</w:t>
      </w:r>
      <w:r>
        <w:rPr>
          <w:rFonts w:hint="default" w:ascii="Times New Roman" w:hAnsi="Times New Roman" w:eastAsia="仿宋_GB2312" w:cs="Times New Roman"/>
          <w:b/>
          <w:bCs w:val="0"/>
          <w:kern w:val="2"/>
          <w:sz w:val="32"/>
          <w:szCs w:val="32"/>
          <w:lang w:val="en-US" w:eastAsia="zh-CN" w:bidi="ar-SA"/>
        </w:rPr>
        <w:t>。</w:t>
      </w:r>
      <w:r>
        <w:rPr>
          <w:rFonts w:hint="eastAsia" w:ascii="Times New Roman" w:hAnsi="Times New Roman"/>
          <w:b w:val="0"/>
          <w:bCs/>
          <w:lang w:val="en-US" w:eastAsia="zh-CN"/>
        </w:rPr>
        <w:t>2009年于</w:t>
      </w:r>
      <w:r>
        <w:rPr>
          <w:rFonts w:ascii="Times New Roman" w:hAnsi="Times New Roman"/>
          <w:b w:val="0"/>
          <w:bCs/>
        </w:rPr>
        <w:t>开曼群岛注册成立，</w:t>
      </w:r>
      <w:r>
        <w:rPr>
          <w:rFonts w:hint="eastAsia" w:ascii="Times New Roman" w:hAnsi="Times New Roman"/>
          <w:b w:val="0"/>
          <w:bCs/>
          <w:lang w:eastAsia="zh-CN"/>
        </w:rPr>
        <w:t>交易前最终控制人为</w:t>
      </w:r>
      <w:r>
        <w:rPr>
          <w:rFonts w:hint="eastAsia" w:eastAsia="FangSong_GB2312"/>
          <w:b w:val="0"/>
          <w:bCs/>
          <w:sz w:val="32"/>
          <w:szCs w:val="32"/>
          <w:lang w:val="en-US" w:eastAsia="zh-CN"/>
        </w:rPr>
        <w:t>（略）</w:t>
      </w:r>
      <w:r>
        <w:rPr>
          <w:rFonts w:ascii="Times New Roman" w:hAnsi="Times New Roman"/>
          <w:b w:val="0"/>
          <w:bCs/>
        </w:rPr>
        <w:t>，主要从事</w:t>
      </w:r>
      <w:r>
        <w:rPr>
          <w:rFonts w:hint="eastAsia" w:ascii="Times New Roman" w:hAnsi="Times New Roman"/>
          <w:b w:val="0"/>
          <w:bCs/>
          <w:lang w:eastAsia="zh-CN"/>
        </w:rPr>
        <w:t>线上服饰</w:t>
      </w:r>
      <w:r>
        <w:rPr>
          <w:rFonts w:ascii="Times New Roman" w:hAnsi="Times New Roman"/>
          <w:b w:val="0"/>
          <w:bCs/>
        </w:rPr>
        <w:t>零售业务。2010年全球和中国境内营业额均为</w:t>
      </w:r>
      <w:r>
        <w:rPr>
          <w:rFonts w:hint="eastAsia" w:eastAsia="FangSong_GB2312"/>
          <w:b w:val="0"/>
          <w:bCs/>
          <w:sz w:val="32"/>
          <w:szCs w:val="32"/>
          <w:lang w:val="en-US" w:eastAsia="zh-CN"/>
        </w:rPr>
        <w:t>（略）</w:t>
      </w:r>
      <w:r>
        <w:rPr>
          <w:rFonts w:ascii="Times New Roman" w:hAnsi="Times New Roman"/>
          <w:b w:val="0"/>
          <w:bCs/>
        </w:rPr>
        <w:t>。</w:t>
      </w:r>
    </w:p>
    <w:p>
      <w:pPr>
        <w:pStyle w:val="9"/>
        <w:spacing w:line="240" w:lineRule="auto"/>
        <w:ind w:firstLine="643"/>
        <w:rPr>
          <w:rFonts w:ascii="Times New Roman" w:hAnsi="Times New Roman"/>
        </w:rPr>
      </w:pPr>
      <w:r>
        <w:rPr>
          <w:rFonts w:hint="default" w:ascii="Times New Roman" w:hAnsi="Times New Roman" w:eastAsia="仿宋_GB2312" w:cs="Times New Roman"/>
          <w:b/>
          <w:bCs w:val="0"/>
          <w:sz w:val="32"/>
          <w:lang w:eastAsia="zh-CN"/>
        </w:rPr>
        <w:t>其他参与集中的经营者：</w:t>
      </w:r>
      <w:r>
        <w:rPr>
          <w:rFonts w:ascii="Times New Roman" w:hAnsi="Times New Roman" w:eastAsia="仿宋_GB2312" w:cs="Times New Roman"/>
          <w:b/>
          <w:bCs w:val="0"/>
          <w:kern w:val="2"/>
          <w:sz w:val="32"/>
          <w:szCs w:val="32"/>
          <w:lang w:val="en-US" w:eastAsia="zh-CN" w:bidi="ar-SA"/>
        </w:rPr>
        <w:t>红杉</w:t>
      </w:r>
      <w:r>
        <w:rPr>
          <w:rFonts w:hint="eastAsia" w:ascii="Times New Roman" w:hAnsi="Times New Roman" w:eastAsia="仿宋_GB2312" w:cs="Times New Roman"/>
          <w:b/>
          <w:bCs w:val="0"/>
          <w:kern w:val="2"/>
          <w:sz w:val="32"/>
          <w:szCs w:val="32"/>
          <w:lang w:val="en-US" w:eastAsia="zh-CN" w:bidi="ar-SA"/>
        </w:rPr>
        <w:t>资本中国美元基金</w:t>
      </w:r>
      <w:r>
        <w:rPr>
          <w:rFonts w:ascii="Times New Roman" w:hAnsi="Times New Roman" w:eastAsia="仿宋_GB2312" w:cs="Times New Roman"/>
          <w:b/>
          <w:bCs w:val="0"/>
          <w:kern w:val="2"/>
          <w:sz w:val="32"/>
          <w:szCs w:val="32"/>
          <w:lang w:val="en-US" w:eastAsia="zh-CN" w:bidi="ar-SA"/>
        </w:rPr>
        <w:t>（</w:t>
      </w:r>
      <w:r>
        <w:rPr>
          <w:rFonts w:hint="eastAsia" w:ascii="Times New Roman" w:hAnsi="Times New Roman" w:cs="Times New Roman"/>
          <w:b/>
          <w:bCs w:val="0"/>
          <w:kern w:val="2"/>
          <w:sz w:val="32"/>
          <w:szCs w:val="32"/>
          <w:lang w:val="en-US" w:eastAsia="zh-CN" w:bidi="ar-SA"/>
        </w:rPr>
        <w:t>具体包括</w:t>
      </w:r>
      <w:r>
        <w:rPr>
          <w:rFonts w:hint="eastAsia" w:ascii="Times New Roman" w:hAnsi="Times New Roman" w:eastAsia="仿宋_GB2312" w:cs="Times New Roman"/>
          <w:b/>
          <w:bCs w:val="0"/>
          <w:kern w:val="2"/>
          <w:sz w:val="32"/>
          <w:szCs w:val="32"/>
          <w:lang w:val="en-US" w:eastAsia="zh-CN" w:bidi="ar-SA"/>
        </w:rPr>
        <w:t>Sequoia Capital China II,L.P.</w:t>
      </w:r>
      <w:r>
        <w:rPr>
          <w:rFonts w:hint="eastAsia" w:ascii="Times New Roman" w:hAnsi="Times New Roman" w:cs="Times New Roman"/>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Sequoia Capital China Partners Fund II,L.P.</w:t>
      </w:r>
      <w:r>
        <w:rPr>
          <w:rFonts w:hint="eastAsia" w:ascii="Times New Roman" w:hAnsi="Times New Roman" w:cs="Times New Roman"/>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Sequoia Capital China Principals Fund II, L.P.</w:t>
      </w:r>
      <w:r>
        <w:rPr>
          <w:rFonts w:hint="eastAsia" w:ascii="Times New Roman" w:hAnsi="Times New Roman" w:cs="Times New Roman"/>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以下简称红杉中国）</w:t>
      </w:r>
      <w:r>
        <w:rPr>
          <w:rFonts w:hint="eastAsia" w:ascii="Times New Roman" w:hAnsi="Times New Roman" w:cs="Times New Roman"/>
          <w:b/>
          <w:bCs w:val="0"/>
          <w:kern w:val="2"/>
          <w:sz w:val="32"/>
          <w:szCs w:val="32"/>
          <w:lang w:val="en-US" w:eastAsia="zh-CN" w:bidi="ar-SA"/>
        </w:rPr>
        <w:t>。</w:t>
      </w:r>
      <w:r>
        <w:rPr>
          <w:rFonts w:hint="eastAsia" w:ascii="Times New Roman" w:hAnsi="Times New Roman" w:cs="Times New Roman"/>
          <w:b w:val="0"/>
          <w:bCs/>
          <w:kern w:val="2"/>
          <w:sz w:val="32"/>
          <w:szCs w:val="32"/>
          <w:lang w:val="en-US" w:eastAsia="zh-CN" w:bidi="ar-SA"/>
        </w:rPr>
        <w:t>分别于2007</w:t>
      </w:r>
      <w:r>
        <w:rPr>
          <w:rFonts w:ascii="Times New Roman" w:hAnsi="Times New Roman" w:eastAsia="仿宋_GB2312" w:cs="Times New Roman"/>
          <w:b w:val="0"/>
          <w:bCs/>
          <w:kern w:val="2"/>
          <w:sz w:val="32"/>
          <w:szCs w:val="32"/>
          <w:lang w:val="en-US" w:eastAsia="zh-CN" w:bidi="ar-SA"/>
        </w:rPr>
        <w:t>年</w:t>
      </w:r>
      <w:r>
        <w:rPr>
          <w:rFonts w:hint="eastAsia" w:ascii="Times New Roman" w:hAnsi="Times New Roman" w:cs="Times New Roman"/>
          <w:b w:val="0"/>
          <w:bCs/>
          <w:kern w:val="2"/>
          <w:sz w:val="32"/>
          <w:szCs w:val="32"/>
          <w:lang w:val="en-US" w:eastAsia="zh-CN" w:bidi="ar-SA"/>
        </w:rPr>
        <w:t>和2008年</w:t>
      </w:r>
      <w:r>
        <w:rPr>
          <w:rFonts w:ascii="Times New Roman" w:hAnsi="Times New Roman" w:eastAsia="仿宋_GB2312" w:cs="Times New Roman"/>
          <w:b w:val="0"/>
          <w:bCs/>
          <w:kern w:val="2"/>
          <w:sz w:val="32"/>
          <w:szCs w:val="32"/>
          <w:lang w:val="en-US" w:eastAsia="zh-CN" w:bidi="ar-SA"/>
        </w:rPr>
        <w:t>于</w:t>
      </w:r>
      <w:r>
        <w:rPr>
          <w:rFonts w:hint="eastAsia" w:ascii="Times New Roman" w:hAnsi="Times New Roman" w:eastAsia="仿宋_GB2312" w:cs="Times New Roman"/>
          <w:b w:val="0"/>
          <w:bCs/>
          <w:kern w:val="2"/>
          <w:sz w:val="32"/>
          <w:szCs w:val="32"/>
          <w:lang w:val="en-US" w:eastAsia="zh-CN" w:bidi="ar-SA"/>
        </w:rPr>
        <w:t>开曼群岛创立</w:t>
      </w:r>
      <w:r>
        <w:rPr>
          <w:rFonts w:ascii="Times New Roman" w:hAnsi="Times New Roman" w:eastAsia="仿宋_GB2312" w:cs="Times New Roman"/>
          <w:b w:val="0"/>
          <w:bCs/>
          <w:kern w:val="2"/>
          <w:sz w:val="32"/>
          <w:szCs w:val="32"/>
          <w:lang w:val="en-US" w:eastAsia="zh-CN" w:bidi="ar-SA"/>
        </w:rPr>
        <w:t>，最终控制人</w:t>
      </w:r>
      <w:r>
        <w:rPr>
          <w:rFonts w:hint="eastAsia" w:ascii="Times New Roman" w:hAnsi="Times New Roman" w:eastAsia="仿宋_GB2312" w:cs="Times New Roman"/>
          <w:b w:val="0"/>
          <w:bCs/>
          <w:kern w:val="2"/>
          <w:sz w:val="32"/>
          <w:szCs w:val="32"/>
          <w:lang w:val="en-US" w:eastAsia="zh-CN" w:bidi="ar-SA"/>
        </w:rPr>
        <w:t>为</w:t>
      </w:r>
      <w:r>
        <w:rPr>
          <w:rFonts w:hint="eastAsia" w:eastAsia="FangSong_GB2312"/>
          <w:b w:val="0"/>
          <w:bCs/>
          <w:sz w:val="32"/>
          <w:szCs w:val="32"/>
          <w:lang w:val="en-US" w:eastAsia="zh-CN"/>
        </w:rPr>
        <w:t>（略）</w:t>
      </w:r>
      <w:r>
        <w:rPr>
          <w:rFonts w:ascii="Times New Roman" w:hAnsi="Times New Roman" w:eastAsia="仿宋_GB2312" w:cs="Times New Roman"/>
          <w:b w:val="0"/>
          <w:bCs/>
          <w:kern w:val="2"/>
          <w:sz w:val="32"/>
          <w:szCs w:val="32"/>
          <w:lang w:val="en-US" w:eastAsia="zh-CN" w:bidi="ar-SA"/>
        </w:rPr>
        <w:t>，主要从事投资和资产管理业务</w:t>
      </w:r>
      <w:r>
        <w:rPr>
          <w:rFonts w:hint="eastAsia" w:ascii="Times New Roman" w:hAnsi="Times New Roman" w:cs="Times New Roman"/>
          <w:b w:val="0"/>
          <w:bCs/>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201</w:t>
      </w:r>
      <w:r>
        <w:rPr>
          <w:rFonts w:hint="eastAsia" w:ascii="Times New Roman" w:hAnsi="Times New Roman" w:eastAsia="仿宋_GB2312" w:cs="Times New Roman"/>
          <w:b w:val="0"/>
          <w:bCs/>
          <w:kern w:val="2"/>
          <w:sz w:val="32"/>
          <w:szCs w:val="32"/>
          <w:lang w:val="en-US" w:eastAsia="zh-CN" w:bidi="ar-SA"/>
        </w:rPr>
        <w:t>0</w:t>
      </w:r>
      <w:r>
        <w:rPr>
          <w:rFonts w:hint="default" w:ascii="Times New Roman" w:hAnsi="Times New Roman" w:eastAsia="仿宋_GB2312" w:cs="Times New Roman"/>
          <w:b w:val="0"/>
          <w:bCs/>
          <w:kern w:val="2"/>
          <w:sz w:val="32"/>
          <w:szCs w:val="32"/>
          <w:lang w:val="en-US" w:eastAsia="zh-CN" w:bidi="ar-SA"/>
        </w:rPr>
        <w:t>年全球和中国境内营业额</w:t>
      </w:r>
      <w:r>
        <w:rPr>
          <w:rFonts w:hint="eastAsia" w:ascii="Times New Roman" w:hAnsi="Times New Roman" w:eastAsia="仿宋_GB2312" w:cs="Times New Roman"/>
          <w:b w:val="0"/>
          <w:bCs/>
          <w:kern w:val="2"/>
          <w:sz w:val="32"/>
          <w:szCs w:val="32"/>
          <w:lang w:val="en-US" w:eastAsia="zh-CN" w:bidi="ar-SA"/>
        </w:rPr>
        <w:t>分别为</w:t>
      </w:r>
      <w:r>
        <w:rPr>
          <w:rFonts w:hint="eastAsia" w:eastAsia="FangSong_GB2312"/>
          <w:b w:val="0"/>
          <w:bCs/>
          <w:sz w:val="32"/>
          <w:szCs w:val="32"/>
          <w:lang w:val="en-US" w:eastAsia="zh-CN"/>
        </w:rPr>
        <w:t>（略）</w:t>
      </w:r>
      <w:r>
        <w:rPr>
          <w:rFonts w:hint="eastAsia" w:ascii="Times New Roman" w:hAnsi="Times New Roman" w:eastAsia="仿宋_GB2312" w:cs="Times New Roman"/>
          <w:b w:val="0"/>
          <w:bCs/>
          <w:kern w:val="2"/>
          <w:sz w:val="32"/>
          <w:szCs w:val="32"/>
          <w:lang w:val="en-US" w:eastAsia="zh-CN" w:bidi="ar-SA"/>
        </w:rPr>
        <w:t>和</w:t>
      </w:r>
      <w:r>
        <w:rPr>
          <w:rFonts w:hint="eastAsia" w:eastAsia="FangSong_GB2312"/>
          <w:b w:val="0"/>
          <w:bCs/>
          <w:sz w:val="32"/>
          <w:szCs w:val="32"/>
          <w:lang w:val="en-US" w:eastAsia="zh-CN"/>
        </w:rPr>
        <w:t>（略）</w:t>
      </w:r>
      <w:r>
        <w:rPr>
          <w:rFonts w:ascii="Times New Roman" w:hAnsi="Times New Roman" w:eastAsia="仿宋_GB2312" w:cs="Times New Roman"/>
          <w:b w:val="0"/>
          <w:bCs/>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pStyle w:val="9"/>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sz w:val="32"/>
          <w:szCs w:val="32"/>
          <w:lang w:eastAsia="zh-CN"/>
        </w:rPr>
        <w:t>本</w:t>
      </w:r>
      <w:bookmarkStart w:id="0" w:name="_GoBack"/>
      <w:bookmarkEnd w:id="0"/>
      <w:r>
        <w:rPr>
          <w:rFonts w:hint="default" w:ascii="Times New Roman" w:hAnsi="Times New Roman" w:eastAsia="仿宋_GB2312" w:cs="Times New Roman"/>
          <w:sz w:val="32"/>
          <w:szCs w:val="32"/>
          <w:lang w:eastAsia="zh-CN"/>
        </w:rPr>
        <w:t>交易系股权收购</w:t>
      </w:r>
      <w:r>
        <w:rPr>
          <w:rFonts w:hint="eastAsia" w:ascii="Times New Roman" w:hAnsi="Times New Roman" w:cs="Times New Roman"/>
          <w:sz w:val="32"/>
          <w:szCs w:val="32"/>
          <w:lang w:eastAsia="zh-CN"/>
        </w:rPr>
        <w:t>。</w:t>
      </w:r>
      <w:r>
        <w:rPr>
          <w:rFonts w:hint="default" w:ascii="Times New Roman" w:hAnsi="Times New Roman" w:eastAsia="仿宋_GB2312" w:cs="Times New Roman"/>
          <w:kern w:val="2"/>
          <w:sz w:val="32"/>
          <w:szCs w:val="32"/>
          <w:lang w:val="en-US" w:eastAsia="zh-CN" w:bidi="ar-SA"/>
        </w:rPr>
        <w:t>2011年</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15日</w:t>
      </w:r>
      <w:r>
        <w:rPr>
          <w:rFonts w:hint="default" w:ascii="Times New Roman" w:hAnsi="Times New Roman" w:eastAsia="仿宋_GB2312" w:cs="Times New Roman"/>
          <w:kern w:val="2"/>
          <w:sz w:val="32"/>
          <w:szCs w:val="32"/>
          <w:lang w:val="en-US" w:eastAsia="zh-CN" w:bidi="ar-SA"/>
        </w:rPr>
        <w:t>，腾讯</w:t>
      </w:r>
      <w:r>
        <w:rPr>
          <w:rFonts w:hint="eastAsia" w:ascii="Times New Roman" w:hAnsi="Times New Roman" w:eastAsia="仿宋_GB2312" w:cs="Times New Roman"/>
          <w:kern w:val="2"/>
          <w:sz w:val="32"/>
          <w:szCs w:val="32"/>
          <w:lang w:val="en-US" w:eastAsia="zh-CN" w:bidi="ar-SA"/>
        </w:rPr>
        <w:t>通过控股子公司TCH Ivory Limited</w:t>
      </w:r>
      <w:r>
        <w:rPr>
          <w:rFonts w:hint="default" w:ascii="Times New Roman" w:hAnsi="Times New Roman" w:eastAsia="仿宋_GB2312" w:cs="Times New Roman"/>
          <w:kern w:val="2"/>
          <w:sz w:val="32"/>
          <w:szCs w:val="32"/>
          <w:lang w:val="en-US" w:eastAsia="zh-CN" w:bidi="ar-SA"/>
        </w:rPr>
        <w:t>与好乐买创始人、红杉</w:t>
      </w:r>
      <w:r>
        <w:rPr>
          <w:rFonts w:hint="eastAsia" w:ascii="Times New Roman" w:hAnsi="Times New Roman" w:eastAsia="仿宋_GB2312" w:cs="Times New Roman"/>
          <w:kern w:val="2"/>
          <w:sz w:val="32"/>
          <w:szCs w:val="32"/>
          <w:lang w:val="en-US" w:eastAsia="zh-CN" w:bidi="ar-SA"/>
        </w:rPr>
        <w:t>中国</w:t>
      </w:r>
      <w:r>
        <w:rPr>
          <w:rFonts w:hint="default" w:ascii="Times New Roman" w:hAnsi="Times New Roman" w:eastAsia="仿宋_GB2312" w:cs="Times New Roman"/>
          <w:kern w:val="2"/>
          <w:sz w:val="32"/>
          <w:szCs w:val="32"/>
          <w:lang w:val="en-US" w:eastAsia="zh-CN" w:bidi="ar-SA"/>
        </w:rPr>
        <w:t>、Good Dynamic Limited（“DFJ”）等签署《股权购买协议》，收购好乐买20%的股权</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交易完成后，腾讯持有</w:t>
      </w:r>
      <w:r>
        <w:rPr>
          <w:rFonts w:hint="eastAsia" w:ascii="Times New Roman" w:hAnsi="Times New Roman" w:eastAsia="仿宋_GB2312" w:cs="Times New Roman"/>
          <w:kern w:val="2"/>
          <w:sz w:val="32"/>
          <w:szCs w:val="32"/>
          <w:lang w:val="en-US" w:eastAsia="zh-CN" w:bidi="ar-SA"/>
        </w:rPr>
        <w:t>好乐买20%已发行股份，与原股东</w:t>
      </w:r>
      <w:r>
        <w:rPr>
          <w:rFonts w:hint="eastAsia" w:eastAsia="FangSong_GB2312"/>
          <w:b w:val="0"/>
          <w:bCs/>
          <w:sz w:val="32"/>
          <w:szCs w:val="32"/>
          <w:lang w:val="en-US" w:eastAsia="zh-CN"/>
        </w:rPr>
        <w:t>（略）</w:t>
      </w:r>
      <w:r>
        <w:rPr>
          <w:rFonts w:hint="eastAsia" w:ascii="Times New Roman" w:hAnsi="Times New Roman" w:eastAsia="仿宋_GB2312" w:cs="Times New Roman"/>
          <w:kern w:val="2"/>
          <w:sz w:val="32"/>
          <w:szCs w:val="32"/>
          <w:lang w:val="en-US" w:eastAsia="zh-CN" w:bidi="ar-SA"/>
        </w:rPr>
        <w:t>以及红杉中国共同控制目标公司。</w:t>
      </w:r>
      <w:r>
        <w:rPr>
          <w:rFonts w:hint="default" w:ascii="Times New Roman" w:hAnsi="Times New Roman" w:eastAsia="仿宋_GB2312" w:cs="Times New Roman"/>
          <w:sz w:val="32"/>
          <w:szCs w:val="32"/>
          <w:lang w:eastAsia="zh-CN"/>
        </w:rPr>
        <w:t>201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eastAsia="zh-CN"/>
        </w:rPr>
        <w:t>日，</w:t>
      </w:r>
      <w:r>
        <w:rPr>
          <w:rFonts w:hint="eastAsia" w:ascii="Times New Roman" w:hAnsi="Times New Roman" w:cs="Times New Roman"/>
          <w:sz w:val="32"/>
          <w:szCs w:val="32"/>
          <w:lang w:eastAsia="zh-CN"/>
        </w:rPr>
        <w:t>本次</w:t>
      </w:r>
      <w:r>
        <w:rPr>
          <w:rFonts w:hint="eastAsia" w:ascii="Times New Roman" w:hAnsi="Times New Roman" w:eastAsia="仿宋_GB2312" w:cs="Times New Roman"/>
          <w:sz w:val="32"/>
          <w:szCs w:val="32"/>
          <w:lang w:eastAsia="zh-CN"/>
        </w:rPr>
        <w:t>交易完成</w:t>
      </w:r>
      <w:r>
        <w:rPr>
          <w:rFonts w:hint="eastAsia" w:ascii="Times New Roman" w:hAnsi="Times New Roman" w:cs="Times New Roman"/>
          <w:sz w:val="32"/>
          <w:szCs w:val="32"/>
          <w:lang w:eastAsia="zh-CN"/>
        </w:rPr>
        <w:t>股权变更登记</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Times New Roman" w:hAnsi="Times New Roman" w:eastAsia="仿宋_GB2312" w:cs="Times New Roman"/>
          <w:b w:val="0"/>
          <w:bCs w:val="0"/>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01</w:t>
      </w:r>
      <w:r>
        <w:rPr>
          <w:rFonts w:hint="eastAsia" w:ascii="Times New Roman" w:hAnsi="Times New Roman" w:eastAsia="仿宋_GB2312" w:cs="Times New Roman"/>
          <w:kern w:val="2"/>
          <w:sz w:val="32"/>
          <w:szCs w:val="32"/>
          <w:lang w:val="en-US" w:eastAsia="zh-CN" w:bidi="ar-SA"/>
        </w:rPr>
        <w:t>1年3月15日，腾讯通过其控股子公司TCH Ivory Limited与好乐买创始人等签署股权购买协议，获得好乐买2</w:t>
      </w:r>
      <w:r>
        <w:rPr>
          <w:rFonts w:hint="default" w:ascii="Times New Roman" w:hAnsi="Times New Roman" w:eastAsia="仿宋_GB2312" w:cs="Times New Roman"/>
          <w:kern w:val="2"/>
          <w:sz w:val="32"/>
          <w:szCs w:val="32"/>
          <w:lang w:val="en-US" w:eastAsia="zh-CN" w:bidi="ar-SA"/>
        </w:rPr>
        <w:t>0%的股权</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取得共同控制权</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Cs/>
          <w:sz w:val="32"/>
          <w:szCs w:val="36"/>
          <w:lang w:eastAsia="zh-CN"/>
        </w:rPr>
        <w:t>属于《反垄断法》第二十条规定的经营者集中。</w:t>
      </w:r>
    </w:p>
    <w:p>
      <w:pPr>
        <w:keepNext w:val="0"/>
        <w:keepLines w:val="0"/>
        <w:pageBreakBefore w:val="0"/>
        <w:widowControl w:val="0"/>
        <w:kinsoku/>
        <w:wordWrap/>
        <w:topLinePunct w:val="0"/>
        <w:bidi w:val="0"/>
        <w:adjustRightInd w:val="0"/>
        <w:snapToGrid w:val="0"/>
        <w:spacing w:line="594" w:lineRule="exact"/>
        <w:ind w:firstLine="628" w:firstLineChars="200"/>
        <w:contextualSpacing/>
        <w:textAlignment w:val="auto"/>
        <w:outlineLvl w:val="9"/>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highlight w:val="none"/>
          <w:lang w:val="en-US" w:eastAsia="zh-CN"/>
        </w:rPr>
        <w:t>201</w:t>
      </w:r>
      <w:r>
        <w:rPr>
          <w:rFonts w:hint="eastAsia" w:ascii="Times New Roman" w:hAnsi="Times New Roman"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年，</w:t>
      </w:r>
      <w:r>
        <w:rPr>
          <w:rFonts w:hint="default" w:ascii="Times New Roman" w:hAnsi="Times New Roman" w:eastAsia="仿宋_GB2312" w:cs="Times New Roman"/>
          <w:kern w:val="2"/>
          <w:sz w:val="32"/>
          <w:szCs w:val="32"/>
          <w:lang w:val="en-US" w:eastAsia="zh-CN" w:bidi="ar-SA"/>
        </w:rPr>
        <w:t>腾讯全球营业额为</w:t>
      </w:r>
      <w:r>
        <w:rPr>
          <w:rFonts w:hint="eastAsia" w:eastAsia="FangSong_GB2312"/>
          <w:b w:val="0"/>
          <w:bCs/>
          <w:sz w:val="32"/>
          <w:szCs w:val="32"/>
          <w:lang w:val="en-US" w:eastAsia="zh-CN"/>
        </w:rPr>
        <w:t>（略）</w:t>
      </w:r>
      <w:r>
        <w:rPr>
          <w:rFonts w:hint="eastAsia" w:ascii="Times New Roman" w:hAnsi="Times New Roman" w:eastAsia="仿宋_GB2312" w:cs="Times New Roman"/>
          <w:kern w:val="2"/>
          <w:sz w:val="32"/>
          <w:szCs w:val="32"/>
          <w:lang w:val="en-US" w:eastAsia="zh-CN" w:bidi="ar-SA"/>
        </w:rPr>
        <w:t>，中国境内营业额为</w:t>
      </w:r>
      <w:r>
        <w:rPr>
          <w:rFonts w:hint="eastAsia" w:eastAsia="FangSong_GB2312"/>
          <w:b w:val="0"/>
          <w:bCs/>
          <w:sz w:val="32"/>
          <w:szCs w:val="32"/>
          <w:lang w:val="en-US" w:eastAsia="zh-CN"/>
        </w:rPr>
        <w:t>（略）</w:t>
      </w:r>
      <w:r>
        <w:rPr>
          <w:rFonts w:hint="eastAsia" w:ascii="Times New Roman" w:hAnsi="Times New Roman" w:eastAsia="仿宋_GB2312" w:cs="Times New Roman"/>
          <w:kern w:val="2"/>
          <w:sz w:val="32"/>
          <w:szCs w:val="32"/>
          <w:lang w:val="en-US" w:eastAsia="zh-CN" w:bidi="ar-SA"/>
        </w:rPr>
        <w:t>；红杉中国</w:t>
      </w:r>
      <w:r>
        <w:rPr>
          <w:rFonts w:hint="default" w:ascii="Times New Roman" w:hAnsi="Times New Roman" w:eastAsia="仿宋_GB2312" w:cs="Times New Roman"/>
          <w:kern w:val="2"/>
          <w:sz w:val="32"/>
          <w:szCs w:val="32"/>
          <w:lang w:val="en-US" w:eastAsia="zh-CN" w:bidi="ar-SA"/>
        </w:rPr>
        <w:t>全球营业额为</w:t>
      </w:r>
      <w:r>
        <w:rPr>
          <w:rFonts w:hint="eastAsia" w:eastAsia="FangSong_GB2312"/>
          <w:b w:val="0"/>
          <w:bCs/>
          <w:sz w:val="32"/>
          <w:szCs w:val="32"/>
          <w:lang w:val="en-US" w:eastAsia="zh-CN"/>
        </w:rPr>
        <w:t>（略）</w:t>
      </w:r>
      <w:r>
        <w:rPr>
          <w:rFonts w:hint="default" w:ascii="Times New Roman" w:hAnsi="Times New Roman" w:eastAsia="仿宋_GB2312" w:cs="Times New Roman"/>
          <w:kern w:val="2"/>
          <w:sz w:val="32"/>
          <w:szCs w:val="32"/>
          <w:lang w:val="en-US" w:eastAsia="zh-CN" w:bidi="ar-SA"/>
        </w:rPr>
        <w:t>，中国境内营业额为</w:t>
      </w:r>
      <w:r>
        <w:rPr>
          <w:rFonts w:hint="eastAsia" w:eastAsia="FangSong_GB2312"/>
          <w:b w:val="0"/>
          <w:bCs/>
          <w:sz w:val="32"/>
          <w:szCs w:val="32"/>
          <w:lang w:val="en-US" w:eastAsia="zh-CN"/>
        </w:rPr>
        <w:t>（略）</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达到《国务院关于经营者集中申报标准的规定》第三条规定的申报标准，属于应当申报的情形。</w:t>
      </w:r>
    </w:p>
    <w:p>
      <w:pPr>
        <w:pStyle w:val="5"/>
        <w:keepNext w:val="0"/>
        <w:keepLines w:val="0"/>
        <w:pageBreakBefore w:val="0"/>
        <w:widowControl w:val="0"/>
        <w:suppressAutoHyphens/>
        <w:kinsoku/>
        <w:wordWrap/>
        <w:overflowPunct w:val="0"/>
        <w:topLinePunct w:val="0"/>
        <w:autoSpaceDE w:val="0"/>
        <w:autoSpaceDN w:val="0"/>
        <w:bidi w:val="0"/>
        <w:adjustRightInd w:val="0"/>
        <w:snapToGrid/>
        <w:spacing w:before="0" w:beforeAutospacing="0" w:after="0" w:afterAutospacing="0" w:line="594" w:lineRule="exact"/>
        <w:ind w:firstLine="628"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《反垄断法》第二十一条规定</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营者集中达到国</w:t>
      </w:r>
      <w:r>
        <w:rPr>
          <w:rFonts w:hint="default" w:ascii="Times New Roman" w:hAnsi="Times New Roman" w:eastAsia="仿宋_GB2312" w:cs="Times New Roman"/>
          <w:bCs/>
          <w:kern w:val="2"/>
          <w:sz w:val="32"/>
          <w:szCs w:val="32"/>
          <w:u w:val="none"/>
          <w:lang w:val="en-US" w:eastAsia="zh-CN" w:bidi="ar-SA"/>
        </w:rPr>
        <w:t>务院规定的申报标准的，经营者应当事先向国务院反垄断执法机构申报，未申报的不得实施集中”。</w:t>
      </w:r>
      <w:r>
        <w:rPr>
          <w:rFonts w:hint="default" w:ascii="Times New Roman" w:hAnsi="Times New Roman" w:eastAsia="仿宋_GB2312" w:cs="Times New Roman"/>
          <w:kern w:val="2"/>
          <w:sz w:val="32"/>
          <w:szCs w:val="32"/>
          <w:lang w:val="en-US" w:eastAsia="zh-CN" w:bidi="ar-SA"/>
        </w:rPr>
        <w:t>201</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18</w:t>
      </w:r>
      <w:r>
        <w:rPr>
          <w:rFonts w:hint="default" w:ascii="Times New Roman" w:hAnsi="Times New Roman" w:eastAsia="仿宋_GB2312" w:cs="Times New Roman"/>
          <w:kern w:val="2"/>
          <w:sz w:val="32"/>
          <w:szCs w:val="32"/>
          <w:lang w:val="en-US" w:eastAsia="zh-CN" w:bidi="ar-SA"/>
        </w:rPr>
        <w:t>日</w:t>
      </w:r>
      <w:r>
        <w:rPr>
          <w:rFonts w:hint="default" w:ascii="Times New Roman" w:hAnsi="Times New Roman" w:eastAsia="仿宋_GB2312" w:cs="Times New Roman"/>
          <w:bCs/>
          <w:sz w:val="32"/>
          <w:szCs w:val="32"/>
        </w:rPr>
        <w:t>，本次交易完成股权变更登记</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kern w:val="2"/>
          <w:sz w:val="32"/>
          <w:szCs w:val="32"/>
          <w:u w:val="none"/>
          <w:lang w:val="en-US" w:eastAsia="zh-CN" w:bidi="ar-SA"/>
        </w:rPr>
        <w:t>在此之前未</w:t>
      </w:r>
      <w:r>
        <w:rPr>
          <w:rFonts w:hint="eastAsia" w:ascii="Times New Roman" w:hAnsi="Times New Roman" w:eastAsia="仿宋_GB2312" w:cs="Times New Roman"/>
          <w:bCs/>
          <w:kern w:val="2"/>
          <w:sz w:val="32"/>
          <w:szCs w:val="32"/>
          <w:u w:val="none"/>
          <w:lang w:val="en-US" w:eastAsia="zh-CN" w:bidi="ar-SA"/>
        </w:rPr>
        <w:t>依法</w:t>
      </w:r>
      <w:r>
        <w:rPr>
          <w:rFonts w:hint="default" w:ascii="Times New Roman" w:hAnsi="Times New Roman" w:eastAsia="仿宋_GB2312" w:cs="Times New Roman"/>
          <w:bCs/>
          <w:kern w:val="2"/>
          <w:sz w:val="32"/>
          <w:szCs w:val="32"/>
          <w:u w:val="none"/>
          <w:lang w:val="en-US" w:eastAsia="zh-CN" w:bidi="ar-SA"/>
        </w:rPr>
        <w:t>申报，违反《反垄断法》第二十一条，构成</w:t>
      </w:r>
      <w:r>
        <w:rPr>
          <w:rFonts w:hint="eastAsia" w:ascii="Times New Roman" w:hAnsi="Times New Roman" w:eastAsia="仿宋_GB2312" w:cs="Times New Roman"/>
          <w:bCs/>
          <w:kern w:val="2"/>
          <w:sz w:val="32"/>
          <w:szCs w:val="32"/>
          <w:u w:val="none"/>
          <w:lang w:val="en-US" w:eastAsia="zh-CN" w:bidi="ar-SA"/>
        </w:rPr>
        <w:t>未依法申报</w:t>
      </w:r>
      <w:r>
        <w:rPr>
          <w:rFonts w:hint="default" w:ascii="Times New Roman" w:hAnsi="Times New Roman" w:eastAsia="仿宋_GB2312" w:cs="Times New Roman"/>
          <w:bCs/>
          <w:kern w:val="2"/>
          <w:sz w:val="32"/>
          <w:szCs w:val="32"/>
          <w:u w:val="none"/>
          <w:lang w:val="en-US" w:eastAsia="zh-CN" w:bidi="ar-SA"/>
        </w:rPr>
        <w:t>违法实施</w:t>
      </w:r>
      <w:r>
        <w:rPr>
          <w:rFonts w:hint="default" w:ascii="Times New Roman" w:hAnsi="Times New Roman" w:eastAsia="仿宋_GB2312" w:cs="Times New Roman"/>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b w:val="0"/>
          <w:bCs w:val="0"/>
          <w:kern w:val="2"/>
          <w:sz w:val="32"/>
          <w:szCs w:val="32"/>
          <w:lang w:val="en-US" w:eastAsia="zh-CN" w:bidi="ar-SA"/>
        </w:rPr>
        <w:t>腾讯收购</w:t>
      </w:r>
      <w:r>
        <w:rPr>
          <w:rFonts w:hint="eastAsia" w:eastAsia="仿宋_GB2312" w:cs="Times New Roman"/>
          <w:b w:val="0"/>
          <w:bCs w:val="0"/>
          <w:kern w:val="2"/>
          <w:sz w:val="32"/>
          <w:szCs w:val="32"/>
          <w:lang w:val="en-US" w:eastAsia="zh-CN" w:bidi="ar-SA"/>
        </w:rPr>
        <w:t>好乐买</w:t>
      </w:r>
      <w:r>
        <w:rPr>
          <w:rFonts w:hint="default"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w:t>
      </w:r>
      <w:r>
        <w:rPr>
          <w:rFonts w:hint="eastAsia" w:eastAsia="仿宋_GB2312" w:cs="Times New Roman"/>
          <w:bCs/>
          <w:color w:val="000000"/>
          <w:kern w:val="2"/>
          <w:sz w:val="32"/>
          <w:szCs w:val="32"/>
          <w:lang w:eastAsia="zh-CN"/>
        </w:rPr>
        <w:t>决定</w:t>
      </w:r>
      <w:r>
        <w:rPr>
          <w:rFonts w:hint="default" w:ascii="Times New Roman" w:hAnsi="Times New Roman" w:eastAsia="仿宋_GB2312" w:cs="Times New Roman"/>
          <w:bCs/>
          <w:color w:val="000000"/>
          <w:kern w:val="2"/>
          <w:sz w:val="32"/>
          <w:szCs w:val="32"/>
          <w:lang w:eastAsia="zh-CN"/>
        </w:rPr>
        <w:t>给予</w:t>
      </w:r>
      <w:r>
        <w:rPr>
          <w:rFonts w:hint="default" w:ascii="Times New Roman" w:hAnsi="Times New Roman" w:eastAsia="仿宋_GB2312" w:cs="Times New Roman"/>
          <w:bCs/>
          <w:color w:val="000000"/>
          <w:kern w:val="2"/>
          <w:sz w:val="32"/>
          <w:szCs w:val="32"/>
          <w:lang w:val="en-US" w:eastAsia="zh-CN"/>
        </w:rPr>
        <w:t>腾讯5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Times New Roman" w:hAnsi="Times New Roman" w:eastAsia="仿宋_GB2312" w:cs="Times New Roman"/>
          <w:bCs/>
          <w:color w:val="000000"/>
          <w:kern w:val="2"/>
          <w:sz w:val="32"/>
          <w:szCs w:val="32"/>
          <w:highlight w:val="yellow"/>
          <w:lang w:val="en-US" w:eastAsia="zh-CN"/>
        </w:rPr>
      </w:pPr>
      <w:r>
        <w:rPr>
          <w:rFonts w:hint="default" w:ascii="Times New Roman" w:hAnsi="Times New Roman" w:eastAsia="仿宋_GB2312" w:cs="Times New Roman"/>
          <w:bCs/>
          <w:color w:val="000000"/>
          <w:kern w:val="2"/>
          <w:sz w:val="32"/>
          <w:szCs w:val="32"/>
          <w:lang w:eastAsia="zh-CN"/>
        </w:rPr>
        <w:t>当事人应当自收到本行政处罚决定书之日起十五日内，携缴款码到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15家中央财政非税收入收缴代理银行（工、农、中、建、交、中信、光大、招商、邮储、华夏、平安、兴业、民生、广发、浙商）任一银行网点、网上银行缴纳罚款。</w:t>
      </w:r>
      <w:r>
        <w:rPr>
          <w:rFonts w:hint="default" w:ascii="Times New Roman" w:hAnsi="Times New Roman" w:eastAsia="仿宋_GB2312" w:cs="Times New Roman"/>
          <w:bCs/>
          <w:color w:val="000000"/>
          <w:kern w:val="2"/>
          <w:sz w:val="32"/>
          <w:szCs w:val="32"/>
          <w:lang w:eastAsia="zh-CN"/>
        </w:rPr>
        <w:t>缴款码：</w:t>
      </w:r>
      <w:r>
        <w:rPr>
          <w:rFonts w:hint="eastAsia" w:eastAsia="FangSong_GB2312"/>
          <w:b w:val="0"/>
          <w:bCs/>
          <w:sz w:val="32"/>
          <w:szCs w:val="32"/>
          <w:lang w:val="en-US" w:eastAsia="zh-CN"/>
        </w:rPr>
        <w:t>（略）</w:t>
      </w:r>
      <w:r>
        <w:rPr>
          <w:rFonts w:hint="eastAsia" w:eastAsia="仿宋_GB2312" w:cs="Times New Roman"/>
          <w:bCs/>
          <w:color w:val="000000"/>
          <w:kern w:val="2"/>
          <w:sz w:val="32"/>
          <w:szCs w:val="32"/>
          <w:lang w:val="en-US" w:eastAsia="zh-CN"/>
        </w:rPr>
        <w:t>。到期不缴纳罚款的，依据《行政处罚法》第七十二条的规定，本机关将每日按罚款数额的百分之三加处罚款,并依法申请人民法院强制执行。</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default"/>
          <w:lang w:eastAsia="zh-CN"/>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31</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p>
      <w:pPr>
        <w:keepNext w:val="0"/>
        <w:keepLines w:val="0"/>
        <w:pageBreakBefore w:val="0"/>
        <w:widowControl w:val="0"/>
        <w:kinsoku/>
        <w:wordWrap/>
        <w:topLinePunct w:val="0"/>
        <w:bidi w:val="0"/>
        <w:spacing w:line="594" w:lineRule="exact"/>
        <w:textAlignment w:val="auto"/>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03072"/>
    <w:rsid w:val="14DF62BD"/>
    <w:rsid w:val="1FDE264A"/>
    <w:rsid w:val="21AA318D"/>
    <w:rsid w:val="283A780C"/>
    <w:rsid w:val="3C77C0C0"/>
    <w:rsid w:val="43812E47"/>
    <w:rsid w:val="4BBD2F07"/>
    <w:rsid w:val="5C6C122E"/>
    <w:rsid w:val="5CFA4BAA"/>
    <w:rsid w:val="5FDB4AFB"/>
    <w:rsid w:val="64F4AF7B"/>
    <w:rsid w:val="69BA5372"/>
    <w:rsid w:val="6C5F1562"/>
    <w:rsid w:val="6CAA2135"/>
    <w:rsid w:val="71C00681"/>
    <w:rsid w:val="72F799BB"/>
    <w:rsid w:val="738FCA67"/>
    <w:rsid w:val="740D0747"/>
    <w:rsid w:val="772C2018"/>
    <w:rsid w:val="7D7F1853"/>
    <w:rsid w:val="7EDFE724"/>
    <w:rsid w:val="7FCF16D6"/>
    <w:rsid w:val="B7BF866A"/>
    <w:rsid w:val="DF7FD97A"/>
    <w:rsid w:val="DFB5C481"/>
    <w:rsid w:val="DFDD828B"/>
    <w:rsid w:val="DFFE6C55"/>
    <w:rsid w:val="E6BB8E59"/>
    <w:rsid w:val="EFDBAEF3"/>
    <w:rsid w:val="F5F3B495"/>
    <w:rsid w:val="F6B345DF"/>
    <w:rsid w:val="FC7F8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xielin</dc:creator>
  <cp:lastModifiedBy>张砚哲</cp:lastModifiedBy>
  <cp:lastPrinted>2022-04-02T09:45:00Z</cp:lastPrinted>
  <dcterms:modified xsi:type="dcterms:W3CDTF">2022-07-05T16:27:27Z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