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2145097316"/>
        </w:rPr>
        <w:t>国家市场监督管理总</w:t>
      </w:r>
      <w:r>
        <w:rPr>
          <w:rFonts w:hint="default" w:ascii="Times New Roman" w:hAnsi="Times New Roman" w:eastAsia="黑体" w:cs="Times New Roman"/>
          <w:bCs/>
          <w:color w:val="000000"/>
          <w:spacing w:val="1"/>
          <w:kern w:val="0"/>
          <w:sz w:val="52"/>
          <w:szCs w:val="52"/>
          <w:fitText w:val="5742" w:id="2145097316"/>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2"/>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lang w:eastAsia="zh-CN"/>
        </w:rPr>
        <w:t>腾讯控股</w:t>
      </w:r>
      <w:r>
        <w:rPr>
          <w:rFonts w:hint="default" w:ascii="Times New Roman" w:hAnsi="Times New Roman" w:eastAsia="仿宋_GB2312" w:cs="Times New Roman"/>
          <w:sz w:val="32"/>
          <w:lang w:val="en-US" w:eastAsia="zh-CN"/>
        </w:rPr>
        <w:t>有限公司（Tencent Holding</w:t>
      </w:r>
      <w:r>
        <w:rPr>
          <w:rFonts w:hint="eastAsia" w:ascii="Times New Roman" w:hAnsi="Times New Roman" w:eastAsia="仿宋_GB2312" w:cs="Times New Roman"/>
          <w:sz w:val="32"/>
          <w:lang w:val="en-US" w:eastAsia="zh-CN"/>
        </w:rPr>
        <w:t>s</w:t>
      </w:r>
      <w:r>
        <w:rPr>
          <w:rFonts w:hint="default" w:ascii="Times New Roman" w:hAnsi="Times New Roman" w:eastAsia="仿宋_GB2312" w:cs="Times New Roman"/>
          <w:sz w:val="32"/>
          <w:lang w:val="en-US" w:eastAsia="zh-CN"/>
        </w:rPr>
        <w:t xml:space="preserve"> Limited）</w:t>
      </w:r>
    </w:p>
    <w:p>
      <w:pPr>
        <w:pStyle w:val="2"/>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住</w:t>
      </w:r>
      <w:r>
        <w:rPr>
          <w:rFonts w:hint="eastAsia" w:ascii="Times New Roman" w:hAnsi="Times New Roman" w:eastAsia="黑体" w:cs="Times New Roman"/>
          <w:kern w:val="2"/>
          <w:sz w:val="32"/>
          <w:szCs w:val="32"/>
          <w:lang w:val="en-US" w:eastAsia="zh-CN"/>
        </w:rPr>
        <w:t xml:space="preserve"> </w:t>
      </w:r>
      <w:r>
        <w:rPr>
          <w:rFonts w:hint="default" w:ascii="Times New Roman" w:hAnsi="Times New Roman" w:eastAsia="黑体" w:cs="Times New Roman"/>
          <w:kern w:val="2"/>
          <w:sz w:val="32"/>
          <w:szCs w:val="32"/>
        </w:rPr>
        <w:t>所：</w:t>
      </w:r>
      <w:r>
        <w:rPr>
          <w:rFonts w:hint="default" w:ascii="Times New Roman" w:hAnsi="Times New Roman" w:eastAsia="仿宋_GB2312" w:cs="Times New Roman"/>
          <w:sz w:val="32"/>
          <w:lang w:val="en-US" w:eastAsia="zh-CN"/>
        </w:rPr>
        <w:t xml:space="preserve">Cricket Square Hutchins Drive P.O.Box 2681 Grand Cayman KYI-1111 Cayman Islands   </w:t>
      </w:r>
    </w:p>
    <w:p>
      <w:pPr>
        <w:pStyle w:val="2"/>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当事人：</w:t>
      </w:r>
      <w:r>
        <w:rPr>
          <w:rFonts w:hint="eastAsia" w:ascii="Times New Roman" w:hAnsi="Times New Roman" w:eastAsia="仿宋_GB2312" w:cs="Times New Roman"/>
          <w:sz w:val="32"/>
          <w:lang w:eastAsia="zh-CN"/>
        </w:rPr>
        <w:t>中信资本</w:t>
      </w:r>
      <w:r>
        <w:rPr>
          <w:rFonts w:hint="default" w:ascii="Times New Roman" w:hAnsi="Times New Roman" w:eastAsia="仿宋_GB2312" w:cs="Times New Roman"/>
          <w:sz w:val="32"/>
          <w:lang w:eastAsia="zh-CN"/>
        </w:rPr>
        <w:t>控股</w:t>
      </w:r>
      <w:r>
        <w:rPr>
          <w:rFonts w:hint="default" w:ascii="Times New Roman" w:hAnsi="Times New Roman" w:eastAsia="仿宋_GB2312" w:cs="Times New Roman"/>
          <w:sz w:val="32"/>
          <w:lang w:val="en-US" w:eastAsia="zh-CN"/>
        </w:rPr>
        <w:t>有限公司</w:t>
      </w:r>
    </w:p>
    <w:p>
      <w:pPr>
        <w:keepNext w:val="0"/>
        <w:keepLines w:val="0"/>
        <w:widowControl/>
        <w:suppressLineNumbers w:val="0"/>
        <w:ind w:firstLine="628" w:firstLineChars="200"/>
        <w:jc w:val="left"/>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住  所：</w:t>
      </w:r>
      <w:r>
        <w:rPr>
          <w:rFonts w:hint="eastAsia" w:ascii="Times New Roman" w:hAnsi="Times New Roman" w:eastAsia="仿宋_GB2312" w:cs="Times New Roman"/>
          <w:kern w:val="2"/>
          <w:sz w:val="32"/>
          <w:szCs w:val="22"/>
          <w:lang w:val="en-US" w:eastAsia="zh-CN" w:bidi="ar-SA"/>
        </w:rPr>
        <w:t>香港中环添美道1号中信大厦</w:t>
      </w:r>
      <w:r>
        <w:rPr>
          <w:rFonts w:hint="default" w:ascii="Times New Roman" w:hAnsi="Times New Roman" w:eastAsia="仿宋_GB2312" w:cs="Times New Roman"/>
          <w:kern w:val="2"/>
          <w:sz w:val="32"/>
          <w:szCs w:val="22"/>
          <w:lang w:val="en-US" w:eastAsia="zh-CN" w:bidi="ar-SA"/>
        </w:rPr>
        <w:t>28</w:t>
      </w:r>
      <w:r>
        <w:rPr>
          <w:rFonts w:hint="eastAsia" w:ascii="Times New Roman" w:hAnsi="Times New Roman" w:eastAsia="仿宋_GB2312" w:cs="Times New Roman"/>
          <w:kern w:val="2"/>
          <w:sz w:val="32"/>
          <w:szCs w:val="22"/>
          <w:lang w:val="en-US" w:eastAsia="zh-CN" w:bidi="ar-SA"/>
        </w:rPr>
        <w:t>楼</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color w:val="auto"/>
          <w:sz w:val="32"/>
          <w:lang w:val="en-US" w:eastAsia="zh-CN"/>
        </w:rPr>
        <w:t>8月12日</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lang w:val="en-US" w:eastAsia="zh-CN"/>
        </w:rPr>
        <w:t>腾讯控股</w:t>
      </w:r>
      <w:r>
        <w:rPr>
          <w:rFonts w:hint="default" w:ascii="Times New Roman" w:hAnsi="Times New Roman" w:eastAsia="仿宋_GB2312" w:cs="Times New Roman"/>
          <w:sz w:val="32"/>
          <w:lang w:val="en-US" w:eastAsia="zh-CN"/>
        </w:rPr>
        <w:t>有限公司（以下简称</w:t>
      </w:r>
      <w:r>
        <w:rPr>
          <w:rFonts w:hint="eastAsia" w:ascii="Times New Roman" w:hAnsi="Times New Roman" w:eastAsia="仿宋_GB2312" w:cs="Times New Roman"/>
          <w:sz w:val="32"/>
          <w:lang w:val="en-US" w:eastAsia="zh-CN"/>
        </w:rPr>
        <w:t>腾讯</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t>和中信资本控股有限公司（以下简称中信资本）收购</w:t>
      </w:r>
      <w:r>
        <w:rPr>
          <w:rFonts w:hint="eastAsia" w:ascii="Times New Roman" w:hAnsi="Times New Roman" w:eastAsia="仿宋_GB2312" w:cs="仿宋_GB2312"/>
          <w:sz w:val="32"/>
          <w:szCs w:val="32"/>
          <w:highlight w:val="none"/>
          <w:lang w:val="en-US" w:eastAsia="zh-CN"/>
        </w:rPr>
        <w:t>联易融数字科技集团有限公司</w:t>
      </w:r>
      <w:r>
        <w:rPr>
          <w:rFonts w:hint="default" w:ascii="Times New Roman" w:hAnsi="Times New Roman" w:eastAsia="仿宋_GB2312" w:cs="Times New Roman"/>
          <w:sz w:val="32"/>
          <w:lang w:val="en-US" w:eastAsia="zh-CN"/>
        </w:rPr>
        <w:t>（以下简称</w:t>
      </w:r>
      <w:r>
        <w:rPr>
          <w:rFonts w:hint="eastAsia" w:ascii="Times New Roman" w:hAnsi="Times New Roman" w:eastAsia="仿宋_GB2312" w:cs="Times New Roman"/>
          <w:sz w:val="32"/>
          <w:lang w:val="en-US" w:eastAsia="zh-CN"/>
        </w:rPr>
        <w:t>联易融</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t>股权</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r>
        <w:rPr>
          <w:rFonts w:hint="default" w:ascii="Times New Roman" w:hAnsi="Times New Roman" w:eastAsia="仿宋_GB2312" w:cs="Times New Roman"/>
          <w:color w:val="auto"/>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ascii="Times New Roman" w:hAnsi="Times New Roman" w:eastAsia="仿宋_GB2312" w:cs="Times New Roman"/>
          <w:color w:val="auto"/>
          <w:kern w:val="2"/>
          <w:sz w:val="32"/>
          <w:szCs w:val="32"/>
          <w:lang w:val="en-US" w:eastAsia="zh-CN"/>
        </w:rPr>
        <w:t>腾讯</w:t>
      </w:r>
      <w:r>
        <w:rPr>
          <w:rFonts w:hint="eastAsia" w:eastAsia="仿宋_GB2312" w:cs="Times New Roman"/>
          <w:color w:val="auto"/>
          <w:kern w:val="2"/>
          <w:sz w:val="32"/>
          <w:szCs w:val="32"/>
          <w:lang w:val="en-US" w:eastAsia="zh-CN"/>
        </w:rPr>
        <w:t>、</w:t>
      </w:r>
      <w:r>
        <w:rPr>
          <w:rFonts w:hint="eastAsia" w:eastAsia="仿宋_GB2312" w:cs="Times New Roman"/>
          <w:bCs/>
          <w:color w:val="000000"/>
          <w:kern w:val="2"/>
          <w:sz w:val="32"/>
          <w:szCs w:val="32"/>
          <w:lang w:val="en-US" w:eastAsia="zh-CN"/>
        </w:rPr>
        <w:t>中信资本</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lang w:val="en-US" w:eastAsia="zh-CN"/>
        </w:rPr>
        <w:t>腾讯</w:t>
      </w:r>
      <w:r>
        <w:rPr>
          <w:rFonts w:hint="eastAsia" w:eastAsia="仿宋_GB2312" w:cs="Times New Roman"/>
          <w:sz w:val="32"/>
          <w:lang w:val="en-US" w:eastAsia="zh-CN"/>
        </w:rPr>
        <w:t>、</w:t>
      </w:r>
      <w:r>
        <w:rPr>
          <w:rFonts w:hint="eastAsia" w:eastAsia="仿宋_GB2312" w:cs="Times New Roman"/>
          <w:bCs/>
          <w:color w:val="000000"/>
          <w:kern w:val="2"/>
          <w:sz w:val="32"/>
          <w:szCs w:val="32"/>
          <w:lang w:val="en-US" w:eastAsia="zh-CN"/>
        </w:rPr>
        <w:t>中信资本</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bCs w:val="0"/>
          <w:kern w:val="2"/>
          <w:sz w:val="32"/>
          <w:szCs w:val="32"/>
          <w:lang w:val="en-US" w:eastAsia="zh-CN" w:bidi="ar-SA"/>
        </w:rPr>
        <w:t>收购方：腾讯。</w:t>
      </w:r>
      <w:r>
        <w:rPr>
          <w:rFonts w:hint="default" w:ascii="Times New Roman" w:hAnsi="Times New Roman" w:eastAsia="仿宋_GB2312" w:cs="Times New Roman"/>
          <w:b w:val="0"/>
          <w:bCs/>
          <w:sz w:val="32"/>
          <w:lang w:val="en-US" w:eastAsia="zh-CN"/>
        </w:rPr>
        <w:t>1999</w:t>
      </w:r>
      <w:r>
        <w:rPr>
          <w:rFonts w:hint="default" w:ascii="Times New Roman" w:hAnsi="Times New Roman" w:eastAsia="仿宋_GB2312" w:cs="Times New Roman"/>
          <w:b w:val="0"/>
          <w:bCs/>
          <w:sz w:val="32"/>
          <w:lang w:eastAsia="zh-CN"/>
        </w:rPr>
        <w:t>年</w:t>
      </w:r>
      <w:r>
        <w:rPr>
          <w:rFonts w:hint="default" w:ascii="Times New Roman" w:hAnsi="Times New Roman" w:eastAsia="仿宋_GB2312" w:cs="Times New Roman"/>
          <w:b w:val="0"/>
          <w:bCs/>
          <w:sz w:val="32"/>
          <w:lang w:val="en-US" w:eastAsia="zh-CN"/>
        </w:rPr>
        <w:t>11月于</w:t>
      </w:r>
      <w:r>
        <w:rPr>
          <w:rFonts w:hint="default" w:ascii="Times New Roman" w:hAnsi="Times New Roman" w:eastAsia="仿宋_GB2312" w:cs="Times New Roman"/>
          <w:b w:val="0"/>
          <w:bCs/>
          <w:kern w:val="2"/>
          <w:sz w:val="32"/>
          <w:szCs w:val="32"/>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default" w:ascii="Times New Roman" w:hAnsi="Times New Roman" w:eastAsia="仿宋_GB2312" w:cs="Times New Roman"/>
          <w:b w:val="0"/>
          <w:bCs/>
          <w:sz w:val="32"/>
          <w:szCs w:val="32"/>
        </w:rPr>
        <w:t>。201</w:t>
      </w:r>
      <w:r>
        <w:rPr>
          <w:rFonts w:hint="eastAsia" w:eastAsia="仿宋_GB2312" w:cs="Times New Roman"/>
          <w:b w:val="0"/>
          <w:bCs/>
          <w:sz w:val="32"/>
          <w:szCs w:val="32"/>
          <w:lang w:val="en-US" w:eastAsia="zh-CN"/>
        </w:rPr>
        <w:t>5</w:t>
      </w:r>
      <w:r>
        <w:rPr>
          <w:rFonts w:hint="default" w:ascii="Times New Roman" w:hAnsi="Times New Roman" w:eastAsia="仿宋_GB2312" w:cs="Times New Roman"/>
          <w:b w:val="0"/>
          <w:bCs/>
          <w:sz w:val="32"/>
          <w:szCs w:val="32"/>
        </w:rPr>
        <w:t>年全球</w:t>
      </w:r>
      <w:r>
        <w:rPr>
          <w:rFonts w:hint="default" w:ascii="Times New Roman" w:hAnsi="Times New Roman" w:eastAsia="仿宋_GB2312" w:cs="Times New Roman"/>
          <w:b w:val="0"/>
          <w:bCs/>
          <w:sz w:val="32"/>
          <w:szCs w:val="32"/>
          <w:lang w:eastAsia="zh-CN"/>
        </w:rPr>
        <w:t>营业额为</w:t>
      </w:r>
      <w:r>
        <w:rPr>
          <w:rFonts w:hint="eastAsia" w:eastAsia="FangSong_GB2312"/>
          <w:b w:val="0"/>
          <w:bCs/>
          <w:sz w:val="32"/>
          <w:szCs w:val="32"/>
          <w:lang w:val="en-US" w:eastAsia="zh-CN"/>
        </w:rPr>
        <w:t>（略）人民币（币种下同）</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中国境内营业额为</w:t>
      </w:r>
      <w:r>
        <w:rPr>
          <w:rFonts w:hint="eastAsia" w:eastAsia="FangSong_GB2312"/>
          <w:b w:val="0"/>
          <w:bCs/>
          <w:sz w:val="32"/>
          <w:szCs w:val="32"/>
          <w:lang w:val="en-US" w:eastAsia="zh-CN"/>
        </w:rPr>
        <w:t>（略）</w:t>
      </w:r>
      <w:r>
        <w:rPr>
          <w:rFonts w:hint="default" w:ascii="Times New Roman" w:hAnsi="Times New Roman" w:eastAsia="仿宋_GB2312" w:cs="Times New Roman"/>
          <w:b w:val="0"/>
          <w:bCs/>
          <w:sz w:val="32"/>
          <w:szCs w:val="32"/>
        </w:rPr>
        <w:t>。</w:t>
      </w:r>
    </w:p>
    <w:p>
      <w:pPr>
        <w:pStyle w:val="9"/>
        <w:keepNext w:val="0"/>
        <w:keepLines w:val="0"/>
        <w:pageBreakBefore w:val="0"/>
        <w:widowControl w:val="0"/>
        <w:kinsoku/>
        <w:wordWrap/>
        <w:overflowPunct w:val="0"/>
        <w:topLinePunct w:val="0"/>
        <w:autoSpaceDE w:val="0"/>
        <w:autoSpaceDN w:val="0"/>
        <w:bidi w:val="0"/>
        <w:adjustRightInd w:val="0"/>
        <w:snapToGrid w:val="0"/>
        <w:spacing w:line="594" w:lineRule="exact"/>
        <w:ind w:firstLine="643"/>
        <w:textAlignment w:val="auto"/>
        <w:rPr>
          <w:rFonts w:hint="eastAsia" w:ascii="Times New Roman" w:hAnsi="Times New Roman"/>
          <w:b w:val="0"/>
          <w:bCs/>
          <w:lang w:eastAsia="zh-CN"/>
        </w:rPr>
      </w:pPr>
      <w:r>
        <w:rPr>
          <w:rFonts w:hint="eastAsia" w:ascii="Times New Roman" w:hAnsi="Times New Roman" w:eastAsia="仿宋_GB2312" w:cs="Times New Roman"/>
          <w:b/>
          <w:bCs w:val="0"/>
          <w:kern w:val="2"/>
          <w:sz w:val="32"/>
          <w:szCs w:val="32"/>
          <w:lang w:val="en-US" w:eastAsia="zh-CN" w:bidi="ar-SA"/>
        </w:rPr>
        <w:t>收购方</w:t>
      </w:r>
      <w:r>
        <w:rPr>
          <w:rFonts w:hint="default" w:ascii="Times New Roman" w:hAnsi="Times New Roman" w:eastAsia="仿宋_GB2312" w:cs="Times New Roman"/>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中信资本</w:t>
      </w:r>
      <w:r>
        <w:rPr>
          <w:rFonts w:hint="default" w:ascii="Times New Roman" w:hAnsi="Times New Roman" w:eastAsia="仿宋_GB2312" w:cs="Times New Roman"/>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具体包括中信资本（深圳）信息技术创业投资基金企业（有限合伙）及深圳市本源乐动资本管理中心（有限合伙），以下统称中信资本）。</w:t>
      </w:r>
      <w:r>
        <w:rPr>
          <w:rFonts w:hint="eastAsia" w:ascii="Times New Roman" w:hAnsi="Times New Roman" w:cs="Times New Roman"/>
          <w:b w:val="0"/>
          <w:bCs/>
          <w:kern w:val="2"/>
          <w:sz w:val="32"/>
          <w:szCs w:val="32"/>
          <w:lang w:val="en-US" w:eastAsia="zh-CN" w:bidi="ar-SA"/>
        </w:rPr>
        <w:t>2002年在香港</w:t>
      </w:r>
      <w:r>
        <w:rPr>
          <w:rFonts w:hint="eastAsia" w:ascii="Times New Roman" w:hAnsi="Times New Roman" w:eastAsia="仿宋_GB2312" w:cs="Times New Roman"/>
          <w:b w:val="0"/>
          <w:bCs/>
          <w:kern w:val="2"/>
          <w:sz w:val="32"/>
          <w:szCs w:val="32"/>
          <w:lang w:val="en-US" w:eastAsia="zh-CN" w:bidi="ar-SA"/>
        </w:rPr>
        <w:t>创立</w:t>
      </w:r>
      <w:r>
        <w:rPr>
          <w:rFonts w:ascii="Times New Roman" w:hAnsi="Times New Roman" w:eastAsia="仿宋_GB2312" w:cs="Times New Roman"/>
          <w:b w:val="0"/>
          <w:bCs/>
          <w:kern w:val="2"/>
          <w:sz w:val="32"/>
          <w:szCs w:val="32"/>
          <w:lang w:val="en-US" w:eastAsia="zh-CN" w:bidi="ar-SA"/>
        </w:rPr>
        <w:t>，</w:t>
      </w:r>
      <w:r>
        <w:rPr>
          <w:rFonts w:hint="eastAsia" w:ascii="Times New Roman" w:hAnsi="Times New Roman" w:cs="Times New Roman"/>
          <w:b w:val="0"/>
          <w:bCs/>
          <w:kern w:val="2"/>
          <w:sz w:val="32"/>
          <w:szCs w:val="32"/>
          <w:lang w:val="en-US" w:eastAsia="zh-CN" w:bidi="ar-SA"/>
        </w:rPr>
        <w:t>无</w:t>
      </w:r>
      <w:r>
        <w:rPr>
          <w:rFonts w:ascii="Times New Roman" w:hAnsi="Times New Roman" w:eastAsia="仿宋_GB2312" w:cs="Times New Roman"/>
          <w:b w:val="0"/>
          <w:bCs/>
          <w:kern w:val="2"/>
          <w:sz w:val="32"/>
          <w:szCs w:val="32"/>
          <w:lang w:val="en-US" w:eastAsia="zh-CN" w:bidi="ar-SA"/>
        </w:rPr>
        <w:t>最终控制人，主要从事投资和资产管理业务</w:t>
      </w:r>
      <w:r>
        <w:rPr>
          <w:rFonts w:hint="eastAsia" w:ascii="Times New Roman" w:hAnsi="Times New Roman" w:cs="Times New Roman"/>
          <w:b w:val="0"/>
          <w:bCs/>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20</w:t>
      </w:r>
      <w:r>
        <w:rPr>
          <w:rFonts w:hint="eastAsia" w:ascii="Times New Roman" w:hAnsi="Times New Roman" w:cs="Times New Roman"/>
          <w:b w:val="0"/>
          <w:bCs/>
          <w:kern w:val="2"/>
          <w:sz w:val="32"/>
          <w:szCs w:val="32"/>
          <w:lang w:val="en-US" w:eastAsia="zh-CN" w:bidi="ar-SA"/>
        </w:rPr>
        <w:t>15</w:t>
      </w:r>
      <w:r>
        <w:rPr>
          <w:rFonts w:hint="default" w:ascii="Times New Roman" w:hAnsi="Times New Roman" w:eastAsia="仿宋_GB2312" w:cs="Times New Roman"/>
          <w:b w:val="0"/>
          <w:bCs/>
          <w:kern w:val="2"/>
          <w:sz w:val="32"/>
          <w:szCs w:val="32"/>
          <w:lang w:val="en-US" w:eastAsia="zh-CN" w:bidi="ar-SA"/>
        </w:rPr>
        <w:t>年全球</w:t>
      </w:r>
      <w:r>
        <w:rPr>
          <w:rFonts w:hint="eastAsia" w:ascii="Times New Roman" w:hAnsi="Times New Roman" w:cs="Times New Roman"/>
          <w:b w:val="0"/>
          <w:bCs/>
          <w:kern w:val="2"/>
          <w:sz w:val="32"/>
          <w:szCs w:val="32"/>
          <w:lang w:val="en-US" w:eastAsia="zh-CN" w:bidi="ar-SA"/>
        </w:rPr>
        <w:t>营业额</w:t>
      </w:r>
      <w:r>
        <w:rPr>
          <w:rFonts w:hint="eastAsia" w:ascii="Times New Roman" w:hAnsi="Times New Roman" w:eastAsia="仿宋_GB2312" w:cs="Times New Roman"/>
          <w:b w:val="0"/>
          <w:bCs/>
          <w:kern w:val="2"/>
          <w:sz w:val="32"/>
          <w:szCs w:val="32"/>
          <w:lang w:val="en-US" w:eastAsia="zh-CN" w:bidi="ar-SA"/>
        </w:rPr>
        <w:t>为</w:t>
      </w:r>
      <w:r>
        <w:rPr>
          <w:rFonts w:hint="eastAsia" w:eastAsia="FangSong_GB2312"/>
          <w:b w:val="0"/>
          <w:bCs/>
          <w:sz w:val="32"/>
          <w:szCs w:val="32"/>
          <w:lang w:val="en-US" w:eastAsia="zh-CN"/>
        </w:rPr>
        <w:t>（略）</w:t>
      </w:r>
      <w:r>
        <w:rPr>
          <w:rFonts w:hint="eastAsia" w:ascii="Times New Roman" w:hAnsi="Times New Roman" w:cs="Times New Roman"/>
          <w:b w:val="0"/>
          <w:bCs/>
          <w:kern w:val="2"/>
          <w:sz w:val="32"/>
          <w:szCs w:val="32"/>
          <w:lang w:val="en-US" w:eastAsia="zh-CN" w:bidi="ar-SA"/>
        </w:rPr>
        <w:t>，中国境内营业额为</w:t>
      </w:r>
      <w:r>
        <w:rPr>
          <w:rFonts w:hint="eastAsia" w:eastAsia="FangSong_GB2312"/>
          <w:b w:val="0"/>
          <w:bCs/>
          <w:sz w:val="32"/>
          <w:szCs w:val="32"/>
          <w:lang w:val="en-US" w:eastAsia="zh-CN"/>
        </w:rPr>
        <w:t>（略）</w:t>
      </w:r>
      <w:r>
        <w:rPr>
          <w:rFonts w:ascii="Times New Roman" w:hAnsi="Times New Roman" w:eastAsia="仿宋_GB2312" w:cs="Times New Roman"/>
          <w:b w:val="0"/>
          <w:bCs/>
          <w:kern w:val="2"/>
          <w:sz w:val="32"/>
          <w:szCs w:val="32"/>
          <w:lang w:val="en-US" w:eastAsia="zh-CN" w:bidi="ar-SA"/>
        </w:rPr>
        <w:t>。</w:t>
      </w:r>
    </w:p>
    <w:p>
      <w:pPr>
        <w:pStyle w:val="9"/>
        <w:keepNext w:val="0"/>
        <w:keepLines w:val="0"/>
        <w:pageBreakBefore w:val="0"/>
        <w:widowControl w:val="0"/>
        <w:kinsoku/>
        <w:wordWrap/>
        <w:overflowPunct w:val="0"/>
        <w:topLinePunct w:val="0"/>
        <w:autoSpaceDE w:val="0"/>
        <w:autoSpaceDN w:val="0"/>
        <w:bidi w:val="0"/>
        <w:adjustRightInd w:val="0"/>
        <w:snapToGrid w:val="0"/>
        <w:spacing w:line="594" w:lineRule="exact"/>
        <w:ind w:firstLine="643"/>
        <w:textAlignment w:val="auto"/>
        <w:rPr>
          <w:rFonts w:ascii="Times New Roman" w:hAnsi="Times New Roman"/>
          <w:b w:val="0"/>
          <w:bCs/>
        </w:rPr>
      </w:pPr>
      <w:r>
        <w:rPr>
          <w:rFonts w:hint="eastAsia" w:ascii="Times New Roman" w:hAnsi="Times New Roman" w:eastAsia="仿宋_GB2312" w:cs="Times New Roman"/>
          <w:b/>
          <w:bCs w:val="0"/>
          <w:kern w:val="2"/>
          <w:sz w:val="32"/>
          <w:szCs w:val="32"/>
          <w:lang w:val="en-US" w:eastAsia="zh-CN" w:bidi="ar-SA"/>
        </w:rPr>
        <w:t>被收购方：联易融。</w:t>
      </w:r>
      <w:r>
        <w:rPr>
          <w:rFonts w:hint="eastAsia" w:ascii="Times New Roman" w:hAnsi="Times New Roman"/>
          <w:b w:val="0"/>
          <w:bCs/>
          <w:lang w:val="en-US" w:eastAsia="zh-CN"/>
        </w:rPr>
        <w:t>2016年2月5日</w:t>
      </w:r>
      <w:r>
        <w:rPr>
          <w:rFonts w:hint="eastAsia" w:ascii="Times New Roman" w:hAnsi="Times New Roman"/>
          <w:b w:val="0"/>
          <w:bCs/>
          <w:lang w:eastAsia="zh-CN"/>
        </w:rPr>
        <w:t>于深圳</w:t>
      </w:r>
      <w:r>
        <w:rPr>
          <w:rFonts w:ascii="Times New Roman" w:hAnsi="Times New Roman"/>
          <w:b w:val="0"/>
          <w:bCs/>
        </w:rPr>
        <w:t>注册成立，</w:t>
      </w:r>
      <w:r>
        <w:rPr>
          <w:rFonts w:hint="eastAsia" w:ascii="Times New Roman" w:hAnsi="Times New Roman"/>
          <w:b w:val="0"/>
          <w:bCs/>
          <w:lang w:eastAsia="zh-CN"/>
        </w:rPr>
        <w:t>交易前最终控制人为</w:t>
      </w:r>
      <w:r>
        <w:rPr>
          <w:rFonts w:hint="eastAsia" w:eastAsia="FangSong_GB2312"/>
          <w:b w:val="0"/>
          <w:bCs/>
          <w:sz w:val="32"/>
          <w:szCs w:val="32"/>
          <w:lang w:val="en-US" w:eastAsia="zh-CN"/>
        </w:rPr>
        <w:t>（略）</w:t>
      </w:r>
      <w:r>
        <w:rPr>
          <w:rFonts w:ascii="Times New Roman" w:hAnsi="Times New Roman"/>
          <w:b w:val="0"/>
          <w:bCs/>
        </w:rPr>
        <w:t>，主要从事</w:t>
      </w:r>
      <w:r>
        <w:rPr>
          <w:rFonts w:hint="eastAsia"/>
          <w:b w:val="0"/>
          <w:bCs/>
          <w:szCs w:val="21"/>
        </w:rPr>
        <w:t>供应链金融科技解决方案</w:t>
      </w:r>
      <w:r>
        <w:rPr>
          <w:rFonts w:ascii="Times New Roman" w:hAnsi="Times New Roman"/>
          <w:b w:val="0"/>
          <w:bCs/>
        </w:rPr>
        <w:t>业务。201</w:t>
      </w:r>
      <w:r>
        <w:rPr>
          <w:rFonts w:hint="eastAsia" w:ascii="Times New Roman" w:hAnsi="Times New Roman"/>
          <w:b w:val="0"/>
          <w:bCs/>
          <w:lang w:val="en-US" w:eastAsia="zh-CN"/>
        </w:rPr>
        <w:t>5</w:t>
      </w:r>
      <w:r>
        <w:rPr>
          <w:rFonts w:ascii="Times New Roman" w:hAnsi="Times New Roman"/>
          <w:b w:val="0"/>
          <w:bCs/>
        </w:rPr>
        <w:t>年全球和中国境内营业额均为</w:t>
      </w:r>
      <w:r>
        <w:rPr>
          <w:rFonts w:hint="eastAsia" w:eastAsia="FangSong_GB2312"/>
          <w:b w:val="0"/>
          <w:bCs/>
          <w:sz w:val="32"/>
          <w:szCs w:val="32"/>
          <w:lang w:val="en-US" w:eastAsia="zh-CN"/>
        </w:rPr>
        <w:t>（略）</w:t>
      </w:r>
      <w:r>
        <w:rPr>
          <w:rFonts w:ascii="Times New Roman" w:hAnsi="Times New Roman"/>
          <w:b w:val="0"/>
          <w:bCs/>
        </w:rPr>
        <w:t>。</w:t>
      </w:r>
    </w:p>
    <w:p>
      <w:pPr>
        <w:pStyle w:val="9"/>
        <w:keepNext w:val="0"/>
        <w:keepLines w:val="0"/>
        <w:pageBreakBefore w:val="0"/>
        <w:widowControl w:val="0"/>
        <w:kinsoku/>
        <w:wordWrap/>
        <w:overflowPunct w:val="0"/>
        <w:topLinePunct w:val="0"/>
        <w:autoSpaceDE w:val="0"/>
        <w:autoSpaceDN w:val="0"/>
        <w:bidi w:val="0"/>
        <w:adjustRightInd w:val="0"/>
        <w:snapToGrid w:val="0"/>
        <w:spacing w:line="594" w:lineRule="exact"/>
        <w:ind w:firstLine="643"/>
        <w:textAlignment w:val="auto"/>
        <w:rPr>
          <w:rFonts w:ascii="Times New Roman" w:hAnsi="Times New Roman"/>
          <w:b w:val="0"/>
          <w:bCs/>
        </w:rPr>
      </w:pPr>
      <w:r>
        <w:rPr>
          <w:rFonts w:hint="eastAsia" w:ascii="Times New Roman" w:hAnsi="Times New Roman" w:eastAsia="仿宋_GB2312" w:cs="Times New Roman"/>
          <w:b/>
          <w:bCs w:val="0"/>
          <w:kern w:val="2"/>
          <w:sz w:val="32"/>
          <w:szCs w:val="32"/>
          <w:lang w:val="en-US" w:eastAsia="zh-CN" w:bidi="ar-SA"/>
        </w:rPr>
        <w:t>存续股东：深圳简慧链投资管理合伙企业(有限合伙)（以下简称简慧链）。</w:t>
      </w:r>
      <w:r>
        <w:rPr>
          <w:rFonts w:hint="eastAsia" w:ascii="Times New Roman" w:hAnsi="Times New Roman"/>
          <w:b w:val="0"/>
          <w:bCs/>
          <w:lang w:val="en-US" w:eastAsia="zh-CN"/>
        </w:rPr>
        <w:t>2016年2月1日于深圳注册成立，最终控制人为</w:t>
      </w:r>
      <w:r>
        <w:rPr>
          <w:rFonts w:hint="eastAsia" w:eastAsia="FangSong_GB2312"/>
          <w:b w:val="0"/>
          <w:bCs/>
          <w:sz w:val="32"/>
          <w:szCs w:val="32"/>
          <w:lang w:val="en-US" w:eastAsia="zh-CN"/>
        </w:rPr>
        <w:t>（略）</w:t>
      </w:r>
      <w:r>
        <w:rPr>
          <w:rFonts w:hint="eastAsia" w:ascii="Times New Roman" w:hAnsi="Times New Roman"/>
          <w:b w:val="0"/>
          <w:bCs/>
          <w:lang w:val="en-US" w:eastAsia="zh-CN"/>
        </w:rPr>
        <w:t>，</w:t>
      </w:r>
      <w:r>
        <w:rPr>
          <w:rFonts w:hint="eastAsia" w:ascii="Times New Roman" w:hAnsi="Times New Roman"/>
          <w:b w:val="0"/>
          <w:bCs/>
          <w:lang w:eastAsia="zh-CN"/>
        </w:rPr>
        <w:t>主要从事企业管理咨询业务。</w:t>
      </w:r>
      <w:r>
        <w:rPr>
          <w:rFonts w:ascii="Times New Roman" w:hAnsi="Times New Roman"/>
          <w:b w:val="0"/>
          <w:bCs/>
        </w:rPr>
        <w:t>201</w:t>
      </w:r>
      <w:r>
        <w:rPr>
          <w:rFonts w:hint="eastAsia" w:ascii="Times New Roman" w:hAnsi="Times New Roman"/>
          <w:b w:val="0"/>
          <w:bCs/>
          <w:lang w:val="en-US" w:eastAsia="zh-CN"/>
        </w:rPr>
        <w:t>5</w:t>
      </w:r>
      <w:r>
        <w:rPr>
          <w:rFonts w:ascii="Times New Roman" w:hAnsi="Times New Roman"/>
          <w:b w:val="0"/>
          <w:bCs/>
        </w:rPr>
        <w:t>年全球营业额和中国境内营业额均为</w:t>
      </w:r>
      <w:r>
        <w:rPr>
          <w:rFonts w:hint="eastAsia" w:eastAsia="FangSong_GB2312"/>
          <w:b w:val="0"/>
          <w:bCs/>
          <w:sz w:val="32"/>
          <w:szCs w:val="32"/>
          <w:lang w:val="en-US" w:eastAsia="zh-CN"/>
        </w:rPr>
        <w:t>（略）</w:t>
      </w:r>
      <w:r>
        <w:rPr>
          <w:rFonts w:ascii="Times New Roman" w:hAnsi="Times New Roman"/>
          <w:b w:val="0"/>
          <w:bCs/>
        </w:rPr>
        <w:t>。</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9"/>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sz w:val="32"/>
          <w:szCs w:val="32"/>
          <w:lang w:eastAsia="zh-CN"/>
        </w:rPr>
        <w:t>本</w:t>
      </w:r>
      <w:bookmarkStart w:id="0" w:name="_GoBack"/>
      <w:bookmarkEnd w:id="0"/>
      <w:r>
        <w:rPr>
          <w:rFonts w:hint="default" w:ascii="Times New Roman" w:hAnsi="Times New Roman" w:eastAsia="仿宋_GB2312" w:cs="Times New Roman"/>
          <w:sz w:val="32"/>
          <w:szCs w:val="32"/>
          <w:lang w:eastAsia="zh-CN"/>
        </w:rPr>
        <w:t>交易系股权收购</w:t>
      </w:r>
      <w:r>
        <w:rPr>
          <w:rFonts w:hint="eastAsia" w:ascii="Times New Roman" w:hAnsi="Times New Roman" w:cs="Times New Roman"/>
          <w:sz w:val="32"/>
          <w:szCs w:val="32"/>
          <w:lang w:eastAsia="zh-CN"/>
        </w:rPr>
        <w:t>。</w:t>
      </w:r>
      <w:r>
        <w:rPr>
          <w:rFonts w:hint="default" w:ascii="Times New Roman" w:hAnsi="Times New Roman" w:eastAsia="仿宋_GB2312" w:cs="Times New Roman"/>
          <w:kern w:val="2"/>
          <w:sz w:val="32"/>
          <w:szCs w:val="32"/>
          <w:lang w:val="en-US" w:eastAsia="zh-CN" w:bidi="ar-SA"/>
        </w:rPr>
        <w:t>2016年6月21日，腾讯通过其控制的林芝利创信息技术有限公司</w:t>
      </w:r>
      <w:r>
        <w:rPr>
          <w:rFonts w:hint="eastAsia" w:ascii="Times New Roman" w:hAnsi="Times New Roman" w:eastAsia="仿宋_GB2312" w:cs="Times New Roman"/>
          <w:kern w:val="2"/>
          <w:sz w:val="32"/>
          <w:szCs w:val="32"/>
          <w:lang w:val="en-US" w:eastAsia="zh-CN" w:bidi="ar-SA"/>
        </w:rPr>
        <w:t>，中信资本通过其控制的中信资本（深圳）信息技术创业投资基金企业（有限合伙）和深圳市本源乐动资本管理中心（有限合伙），</w:t>
      </w:r>
      <w:r>
        <w:rPr>
          <w:rFonts w:hint="default" w:ascii="Times New Roman" w:hAnsi="Times New Roman" w:eastAsia="仿宋_GB2312" w:cs="Times New Roman"/>
          <w:kern w:val="2"/>
          <w:sz w:val="32"/>
          <w:szCs w:val="32"/>
          <w:lang w:val="en-US" w:eastAsia="zh-CN" w:bidi="ar-SA"/>
        </w:rPr>
        <w:t>与联易融、简慧链等签署协议，腾讯、中信资本分别收购联易融17.65%的股权。本次交易前，简慧链持有联易融100%的股权。本次交易完成后，腾讯、中信资本分别获得联易融17.65%的股权</w:t>
      </w:r>
      <w:r>
        <w:rPr>
          <w:rFonts w:hint="eastAsia" w:ascii="Times New Roman" w:hAnsi="Times New Roman" w:eastAsia="仿宋_GB2312" w:cs="Times New Roman"/>
          <w:kern w:val="2"/>
          <w:sz w:val="32"/>
          <w:szCs w:val="32"/>
          <w:lang w:val="en-US" w:eastAsia="zh-CN" w:bidi="ar-SA"/>
        </w:rPr>
        <w:t>，与原股东简慧链一起对联易融实施共同控制</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Times New Roman" w:hAnsi="Times New Roman" w:eastAsia="仿宋_GB2312" w:cs="Times New Roman"/>
          <w:b w:val="0"/>
          <w:bCs w:val="0"/>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01</w:t>
      </w:r>
      <w:r>
        <w:rPr>
          <w:rFonts w:hint="eastAsia"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年</w:t>
      </w:r>
      <w:r>
        <w:rPr>
          <w:rFonts w:hint="eastAsia"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21</w:t>
      </w:r>
      <w:r>
        <w:rPr>
          <w:rFonts w:hint="eastAsia" w:ascii="Times New Roman" w:hAnsi="Times New Roman" w:eastAsia="仿宋_GB2312" w:cs="Times New Roman"/>
          <w:kern w:val="2"/>
          <w:sz w:val="32"/>
          <w:szCs w:val="32"/>
          <w:lang w:val="en-US" w:eastAsia="zh-CN" w:bidi="ar-SA"/>
        </w:rPr>
        <w:t>日，腾讯与</w:t>
      </w:r>
      <w:r>
        <w:rPr>
          <w:rFonts w:hint="eastAsia" w:eastAsia="仿宋_GB2312" w:cs="Times New Roman"/>
          <w:kern w:val="2"/>
          <w:sz w:val="32"/>
          <w:szCs w:val="32"/>
          <w:lang w:val="en-US" w:eastAsia="zh-CN" w:bidi="ar-SA"/>
        </w:rPr>
        <w:t>中信资本分别收购联易融17.65</w:t>
      </w:r>
      <w:r>
        <w:rPr>
          <w:rFonts w:hint="default" w:ascii="Times New Roman" w:hAnsi="Times New Roman" w:eastAsia="仿宋_GB2312" w:cs="Times New Roman"/>
          <w:kern w:val="2"/>
          <w:sz w:val="32"/>
          <w:szCs w:val="32"/>
          <w:lang w:val="en-US" w:eastAsia="zh-CN" w:bidi="ar-SA"/>
        </w:rPr>
        <w:t>%的股权</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取得共同控制权</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sz w:val="32"/>
          <w:szCs w:val="36"/>
          <w:lang w:eastAsia="zh-CN"/>
        </w:rPr>
        <w:t>属于《反垄断法》第二十条规定的经营者集中。</w:t>
      </w:r>
    </w:p>
    <w:p>
      <w:pPr>
        <w:keepNext w:val="0"/>
        <w:keepLines w:val="0"/>
        <w:pageBreakBefore w:val="0"/>
        <w:widowControl w:val="0"/>
        <w:kinsoku/>
        <w:wordWrap/>
        <w:topLinePunct w:val="0"/>
        <w:bidi w:val="0"/>
        <w:adjustRightInd w:val="0"/>
        <w:snapToGrid w:val="0"/>
        <w:spacing w:line="594" w:lineRule="exact"/>
        <w:ind w:firstLine="628" w:firstLineChars="200"/>
        <w:contextualSpacing/>
        <w:textAlignment w:val="auto"/>
        <w:outlineLvl w:val="9"/>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highlight w:val="none"/>
          <w:lang w:val="en-US" w:eastAsia="zh-CN"/>
        </w:rPr>
        <w:t>201</w:t>
      </w:r>
      <w:r>
        <w:rPr>
          <w:rFonts w:hint="eastAsia"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kern w:val="2"/>
          <w:sz w:val="32"/>
          <w:szCs w:val="32"/>
          <w:lang w:val="en-US" w:eastAsia="zh-CN" w:bidi="ar-SA"/>
        </w:rPr>
        <w:t>腾讯全球营业额为</w:t>
      </w:r>
      <w:r>
        <w:rPr>
          <w:rFonts w:hint="eastAsia" w:eastAsia="FangSong_GB2312"/>
          <w:b w:val="0"/>
          <w:bCs/>
          <w:sz w:val="32"/>
          <w:szCs w:val="32"/>
          <w:lang w:val="en-US" w:eastAsia="zh-CN"/>
        </w:rPr>
        <w:t>（略）</w:t>
      </w:r>
      <w:r>
        <w:rPr>
          <w:rFonts w:hint="eastAsia" w:ascii="Times New Roman" w:hAnsi="Times New Roman" w:eastAsia="仿宋_GB2312" w:cs="Times New Roman"/>
          <w:kern w:val="2"/>
          <w:sz w:val="32"/>
          <w:szCs w:val="32"/>
          <w:lang w:val="en-US" w:eastAsia="zh-CN" w:bidi="ar-SA"/>
        </w:rPr>
        <w:t>，中国境内营业额为</w:t>
      </w:r>
      <w:r>
        <w:rPr>
          <w:rFonts w:hint="eastAsia" w:eastAsia="FangSong_GB2312"/>
          <w:b w:val="0"/>
          <w:bCs/>
          <w:sz w:val="32"/>
          <w:szCs w:val="32"/>
          <w:lang w:val="en-US" w:eastAsia="zh-CN"/>
        </w:rPr>
        <w:t>（略）</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中信资本</w:t>
      </w:r>
      <w:r>
        <w:rPr>
          <w:rFonts w:hint="default" w:ascii="Times New Roman" w:hAnsi="Times New Roman" w:eastAsia="仿宋_GB2312" w:cs="Times New Roman"/>
          <w:kern w:val="2"/>
          <w:sz w:val="32"/>
          <w:szCs w:val="32"/>
          <w:lang w:val="en-US" w:eastAsia="zh-CN" w:bidi="ar-SA"/>
        </w:rPr>
        <w:t>全球营业额为</w:t>
      </w:r>
      <w:r>
        <w:rPr>
          <w:rFonts w:hint="eastAsia" w:eastAsia="FangSong_GB2312"/>
          <w:b w:val="0"/>
          <w:bCs/>
          <w:sz w:val="32"/>
          <w:szCs w:val="32"/>
          <w:lang w:val="en-US" w:eastAsia="zh-CN"/>
        </w:rPr>
        <w:t>（略）</w:t>
      </w:r>
      <w:r>
        <w:rPr>
          <w:rFonts w:hint="default" w:ascii="Times New Roman" w:hAnsi="Times New Roman" w:eastAsia="仿宋_GB2312" w:cs="Times New Roman"/>
          <w:kern w:val="2"/>
          <w:sz w:val="32"/>
          <w:szCs w:val="32"/>
          <w:lang w:val="en-US" w:eastAsia="zh-CN" w:bidi="ar-SA"/>
        </w:rPr>
        <w:t>，中国境内营业额为</w:t>
      </w:r>
      <w:r>
        <w:rPr>
          <w:rFonts w:hint="eastAsia" w:eastAsia="FangSong_GB2312"/>
          <w:b w:val="0"/>
          <w:bCs/>
          <w:sz w:val="32"/>
          <w:szCs w:val="32"/>
          <w:lang w:val="en-US" w:eastAsia="zh-CN"/>
        </w:rPr>
        <w:t>（略）</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达到《国务院关于经营者集中申报标准的规定》第三条规定的申报标准，属于应当申报的情形。</w:t>
      </w:r>
    </w:p>
    <w:p>
      <w:pPr>
        <w:pStyle w:val="5"/>
        <w:keepNext w:val="0"/>
        <w:keepLines w:val="0"/>
        <w:pageBreakBefore w:val="0"/>
        <w:widowControl w:val="0"/>
        <w:suppressAutoHyphens/>
        <w:kinsoku/>
        <w:wordWrap/>
        <w:overflowPunct w:val="0"/>
        <w:topLinePunct w:val="0"/>
        <w:autoSpaceDE w:val="0"/>
        <w:autoSpaceDN w:val="0"/>
        <w:bidi w:val="0"/>
        <w:adjustRightInd w:val="0"/>
        <w:snapToGrid/>
        <w:spacing w:before="0" w:beforeAutospacing="0" w:after="0" w:afterAutospacing="0" w:line="594" w:lineRule="exact"/>
        <w:ind w:firstLine="628"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《反垄断法》第二十一条规定</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营者集中达到国</w:t>
      </w:r>
      <w:r>
        <w:rPr>
          <w:rFonts w:hint="default" w:ascii="Times New Roman" w:hAnsi="Times New Roman" w:eastAsia="仿宋_GB2312" w:cs="Times New Roman"/>
          <w:bCs/>
          <w:kern w:val="2"/>
          <w:sz w:val="32"/>
          <w:szCs w:val="32"/>
          <w:u w:val="none"/>
          <w:lang w:val="en-US" w:eastAsia="zh-CN" w:bidi="ar-SA"/>
        </w:rPr>
        <w:t>务院规定的申报标准的，经营者应当事先向国务院反垄断执法机构申报，未申报的不得实施集中”。</w:t>
      </w:r>
      <w:r>
        <w:rPr>
          <w:rFonts w:hint="default" w:ascii="Times New Roman" w:hAnsi="Times New Roman" w:eastAsia="仿宋_GB2312" w:cs="Times New Roman"/>
          <w:kern w:val="2"/>
          <w:sz w:val="32"/>
          <w:szCs w:val="32"/>
          <w:lang w:val="en-US" w:eastAsia="zh-CN" w:bidi="ar-SA"/>
        </w:rPr>
        <w:t>201</w:t>
      </w: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日</w:t>
      </w:r>
      <w:r>
        <w:rPr>
          <w:rFonts w:hint="default" w:ascii="Times New Roman" w:hAnsi="Times New Roman" w:eastAsia="仿宋_GB2312" w:cs="Times New Roman"/>
          <w:bCs/>
          <w:sz w:val="32"/>
          <w:szCs w:val="32"/>
        </w:rPr>
        <w:t>，本次交易完成股权变更登记</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kern w:val="2"/>
          <w:sz w:val="32"/>
          <w:szCs w:val="32"/>
          <w:u w:val="none"/>
          <w:lang w:val="en-US" w:eastAsia="zh-CN" w:bidi="ar-SA"/>
        </w:rPr>
        <w:t>在此之前未</w:t>
      </w:r>
      <w:r>
        <w:rPr>
          <w:rFonts w:hint="eastAsia" w:ascii="Times New Roman" w:hAnsi="Times New Roman" w:eastAsia="仿宋_GB2312" w:cs="Times New Roman"/>
          <w:bCs/>
          <w:kern w:val="2"/>
          <w:sz w:val="32"/>
          <w:szCs w:val="32"/>
          <w:u w:val="none"/>
          <w:lang w:val="en-US" w:eastAsia="zh-CN" w:bidi="ar-SA"/>
        </w:rPr>
        <w:t>依法</w:t>
      </w:r>
      <w:r>
        <w:rPr>
          <w:rFonts w:hint="default" w:ascii="Times New Roman" w:hAnsi="Times New Roman" w:eastAsia="仿宋_GB2312" w:cs="Times New Roman"/>
          <w:bCs/>
          <w:kern w:val="2"/>
          <w:sz w:val="32"/>
          <w:szCs w:val="32"/>
          <w:u w:val="none"/>
          <w:lang w:val="en-US" w:eastAsia="zh-CN" w:bidi="ar-SA"/>
        </w:rPr>
        <w:t>申报，违反《反垄断法》第二十一条，构成</w:t>
      </w:r>
      <w:r>
        <w:rPr>
          <w:rFonts w:hint="eastAsia" w:ascii="Times New Roman" w:hAnsi="Times New Roman" w:eastAsia="仿宋_GB2312" w:cs="Times New Roman"/>
          <w:bCs/>
          <w:kern w:val="2"/>
          <w:sz w:val="32"/>
          <w:szCs w:val="32"/>
          <w:u w:val="none"/>
          <w:lang w:val="en-US" w:eastAsia="zh-CN" w:bidi="ar-SA"/>
        </w:rPr>
        <w:t>未依法申报</w:t>
      </w:r>
      <w:r>
        <w:rPr>
          <w:rFonts w:hint="default" w:ascii="Times New Roman" w:hAnsi="Times New Roman" w:eastAsia="仿宋_GB2312" w:cs="Times New Roman"/>
          <w:bCs/>
          <w:kern w:val="2"/>
          <w:sz w:val="32"/>
          <w:szCs w:val="32"/>
          <w:u w:val="none"/>
          <w:lang w:val="en-US" w:eastAsia="zh-CN" w:bidi="ar-SA"/>
        </w:rPr>
        <w:t>违法实施</w:t>
      </w:r>
      <w:r>
        <w:rPr>
          <w:rFonts w:hint="default" w:ascii="Times New Roman" w:hAnsi="Times New Roman" w:eastAsia="仿宋_GB2312" w:cs="Times New Roman"/>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b w:val="0"/>
          <w:bCs w:val="0"/>
          <w:kern w:val="2"/>
          <w:sz w:val="32"/>
          <w:szCs w:val="32"/>
          <w:lang w:val="en-US" w:eastAsia="zh-CN" w:bidi="ar-SA"/>
        </w:rPr>
        <w:t>腾讯</w:t>
      </w:r>
      <w:r>
        <w:rPr>
          <w:rFonts w:hint="eastAsia" w:eastAsia="仿宋_GB2312" w:cs="Times New Roman"/>
          <w:b w:val="0"/>
          <w:bCs w:val="0"/>
          <w:kern w:val="2"/>
          <w:sz w:val="32"/>
          <w:szCs w:val="32"/>
          <w:lang w:val="en-US" w:eastAsia="zh-CN" w:bidi="ar-SA"/>
        </w:rPr>
        <w:t>和中信资本</w:t>
      </w:r>
      <w:r>
        <w:rPr>
          <w:rFonts w:hint="eastAsia" w:ascii="Times New Roman" w:hAnsi="Times New Roman" w:eastAsia="仿宋_GB2312" w:cs="Times New Roman"/>
          <w:b w:val="0"/>
          <w:bCs w:val="0"/>
          <w:kern w:val="2"/>
          <w:sz w:val="32"/>
          <w:szCs w:val="32"/>
          <w:lang w:val="en-US" w:eastAsia="zh-CN" w:bidi="ar-SA"/>
        </w:rPr>
        <w:t>收购</w:t>
      </w:r>
      <w:r>
        <w:rPr>
          <w:rFonts w:hint="eastAsia" w:eastAsia="仿宋_GB2312" w:cs="Times New Roman"/>
          <w:b w:val="0"/>
          <w:bCs w:val="0"/>
          <w:kern w:val="2"/>
          <w:sz w:val="32"/>
          <w:szCs w:val="32"/>
          <w:lang w:val="en-US" w:eastAsia="zh-CN" w:bidi="ar-SA"/>
        </w:rPr>
        <w:t>联易融</w:t>
      </w:r>
      <w:r>
        <w:rPr>
          <w:rFonts w:hint="default"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w:t>
      </w:r>
      <w:r>
        <w:rPr>
          <w:rFonts w:hint="eastAsia" w:eastAsia="仿宋_GB2312" w:cs="Times New Roman"/>
          <w:bCs/>
          <w:color w:val="000000"/>
          <w:kern w:val="2"/>
          <w:sz w:val="32"/>
          <w:szCs w:val="32"/>
          <w:lang w:eastAsia="zh-CN"/>
        </w:rPr>
        <w:t>决定</w:t>
      </w:r>
      <w:r>
        <w:rPr>
          <w:rFonts w:hint="default" w:ascii="Times New Roman" w:hAnsi="Times New Roman" w:eastAsia="仿宋_GB2312" w:cs="Times New Roman"/>
          <w:bCs/>
          <w:kern w:val="2"/>
          <w:sz w:val="32"/>
          <w:szCs w:val="32"/>
          <w:lang w:val="en-US" w:eastAsia="zh-CN" w:bidi="ar-SA"/>
        </w:rPr>
        <w:t>分别</w:t>
      </w:r>
      <w:r>
        <w:rPr>
          <w:rFonts w:hint="default" w:ascii="Times New Roman" w:hAnsi="Times New Roman" w:eastAsia="仿宋_GB2312" w:cs="Times New Roman"/>
          <w:bCs/>
          <w:color w:val="000000"/>
          <w:kern w:val="2"/>
          <w:sz w:val="32"/>
          <w:szCs w:val="32"/>
          <w:lang w:eastAsia="zh-CN"/>
        </w:rPr>
        <w:t>给予</w:t>
      </w:r>
      <w:r>
        <w:rPr>
          <w:rFonts w:hint="default" w:ascii="Times New Roman" w:hAnsi="Times New Roman" w:eastAsia="仿宋_GB2312" w:cs="Times New Roman"/>
          <w:bCs/>
          <w:color w:val="000000"/>
          <w:kern w:val="2"/>
          <w:sz w:val="32"/>
          <w:szCs w:val="32"/>
          <w:lang w:val="en-US" w:eastAsia="zh-CN"/>
        </w:rPr>
        <w:t>腾讯</w:t>
      </w:r>
      <w:r>
        <w:rPr>
          <w:rFonts w:hint="default" w:ascii="Times New Roman" w:hAnsi="Times New Roman" w:eastAsia="仿宋_GB2312" w:cs="Times New Roman"/>
          <w:sz w:val="32"/>
          <w:lang w:val="en-US" w:eastAsia="zh-CN"/>
        </w:rPr>
        <w:t>与</w:t>
      </w:r>
      <w:r>
        <w:rPr>
          <w:rFonts w:hint="eastAsia" w:eastAsia="仿宋_GB2312" w:cs="Times New Roman"/>
          <w:bCs/>
          <w:color w:val="000000"/>
          <w:kern w:val="2"/>
          <w:sz w:val="32"/>
          <w:szCs w:val="32"/>
          <w:lang w:val="en-US" w:eastAsia="zh-CN"/>
        </w:rPr>
        <w:t>中信资本</w:t>
      </w:r>
      <w:r>
        <w:rPr>
          <w:rFonts w:hint="default" w:ascii="Times New Roman" w:hAnsi="Times New Roman" w:eastAsia="仿宋_GB2312" w:cs="Times New Roman"/>
          <w:bCs/>
          <w:kern w:val="2"/>
          <w:sz w:val="32"/>
          <w:szCs w:val="32"/>
          <w:lang w:val="en-US" w:eastAsia="zh-CN" w:bidi="ar-SA"/>
        </w:rPr>
        <w:t>50万元</w:t>
      </w:r>
      <w:r>
        <w:rPr>
          <w:rFonts w:hint="default" w:ascii="Times New Roman" w:hAnsi="Times New Roman" w:eastAsia="仿宋_GB2312" w:cs="Times New Roman"/>
          <w:bCs/>
          <w:color w:val="000000"/>
          <w:kern w:val="2"/>
          <w:sz w:val="32"/>
          <w:szCs w:val="32"/>
          <w:lang w:eastAsia="zh-CN"/>
        </w:rPr>
        <w:t>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Times New Roman" w:hAnsi="Times New Roman" w:eastAsia="仿宋_GB2312" w:cs="Times New Roman"/>
          <w:bCs/>
          <w:color w:val="000000"/>
          <w:kern w:val="2"/>
          <w:sz w:val="32"/>
          <w:szCs w:val="32"/>
          <w:highlight w:val="yellow"/>
          <w:lang w:val="en-US" w:eastAsia="zh-CN"/>
        </w:rPr>
      </w:pPr>
      <w:r>
        <w:rPr>
          <w:rFonts w:hint="default" w:ascii="Times New Roman" w:hAnsi="Times New Roman" w:eastAsia="仿宋_GB2312" w:cs="Times New Roman"/>
          <w:bCs/>
          <w:color w:val="000000"/>
          <w:kern w:val="2"/>
          <w:sz w:val="32"/>
          <w:szCs w:val="32"/>
          <w:lang w:eastAsia="zh-CN"/>
        </w:rPr>
        <w:t>当事人应当自收到本行政处罚决定书之日起十五日内，携缴款码到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15家中央财政非税收入收缴代理银行（工、农、中、建、交、中信、光大、招商、邮储、华夏、平安、兴业、民生、广发、浙商）任一银行网点、网上银行缴纳罚款。</w:t>
      </w:r>
      <w:r>
        <w:rPr>
          <w:rFonts w:hint="eastAsia" w:ascii="Times New Roman" w:hAnsi="Times New Roman" w:eastAsia="仿宋_GB2312" w:cs="Times New Roman"/>
          <w:b w:val="0"/>
          <w:bCs w:val="0"/>
          <w:kern w:val="2"/>
          <w:sz w:val="32"/>
          <w:szCs w:val="32"/>
          <w:lang w:val="en-US" w:eastAsia="zh-CN" w:bidi="ar-SA"/>
        </w:rPr>
        <w:t>腾讯</w:t>
      </w:r>
      <w:r>
        <w:rPr>
          <w:rFonts w:hint="default" w:ascii="Times New Roman" w:hAnsi="Times New Roman" w:eastAsia="仿宋_GB2312" w:cs="Times New Roman"/>
          <w:bCs/>
          <w:color w:val="000000"/>
          <w:kern w:val="2"/>
          <w:sz w:val="32"/>
          <w:szCs w:val="32"/>
          <w:lang w:eastAsia="zh-CN"/>
        </w:rPr>
        <w:t>缴款码：</w:t>
      </w:r>
      <w:r>
        <w:rPr>
          <w:rFonts w:hint="eastAsia" w:eastAsia="FangSong_GB2312"/>
          <w:b w:val="0"/>
          <w:bCs/>
          <w:sz w:val="32"/>
          <w:szCs w:val="32"/>
          <w:lang w:val="en-US" w:eastAsia="zh-CN"/>
        </w:rPr>
        <w:t>（略）</w:t>
      </w:r>
      <w:r>
        <w:rPr>
          <w:rFonts w:hint="eastAsia" w:eastAsia="仿宋_GB2312" w:cs="Times New Roman"/>
          <w:bCs/>
          <w:color w:val="000000"/>
          <w:kern w:val="2"/>
          <w:sz w:val="32"/>
          <w:szCs w:val="32"/>
          <w:lang w:val="en-US" w:eastAsia="zh-CN"/>
        </w:rPr>
        <w:t>。</w:t>
      </w:r>
      <w:r>
        <w:rPr>
          <w:rFonts w:hint="eastAsia" w:eastAsia="仿宋_GB2312" w:cs="Times New Roman"/>
          <w:b w:val="0"/>
          <w:bCs w:val="0"/>
          <w:kern w:val="2"/>
          <w:sz w:val="32"/>
          <w:szCs w:val="32"/>
          <w:lang w:val="en-US" w:eastAsia="zh-CN" w:bidi="ar-SA"/>
        </w:rPr>
        <w:t>中信资本</w:t>
      </w:r>
      <w:r>
        <w:rPr>
          <w:rFonts w:hint="default" w:ascii="Times New Roman" w:hAnsi="Times New Roman" w:eastAsia="仿宋_GB2312" w:cs="Times New Roman"/>
          <w:bCs/>
          <w:color w:val="000000"/>
          <w:kern w:val="2"/>
          <w:sz w:val="32"/>
          <w:szCs w:val="32"/>
          <w:lang w:eastAsia="zh-CN"/>
        </w:rPr>
        <w:t>缴款码：</w:t>
      </w:r>
      <w:r>
        <w:rPr>
          <w:rFonts w:hint="eastAsia" w:eastAsia="FangSong_GB2312"/>
          <w:b w:val="0"/>
          <w:bCs/>
          <w:sz w:val="32"/>
          <w:szCs w:val="32"/>
          <w:lang w:val="en-US" w:eastAsia="zh-CN"/>
        </w:rPr>
        <w:t>（略）</w:t>
      </w:r>
      <w:r>
        <w:rPr>
          <w:rFonts w:hint="eastAsia" w:eastAsia="仿宋_GB2312" w:cs="Times New Roman"/>
          <w:bCs/>
          <w:color w:val="000000"/>
          <w:kern w:val="2"/>
          <w:sz w:val="32"/>
          <w:szCs w:val="32"/>
          <w:lang w:val="en-US" w:eastAsia="zh-CN"/>
        </w:rPr>
        <w:t>。到期不缴纳罚款的，依据《行政处罚法》第七十二条的规定，本机关将每日按罚款数额的百分之三加处罚款,并依法申请人民法院强制执行。</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31</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pPr>
        <w:keepNext w:val="0"/>
        <w:keepLines w:val="0"/>
        <w:pageBreakBefore w:val="0"/>
        <w:widowControl w:val="0"/>
        <w:kinsoku/>
        <w:wordWrap/>
        <w:topLinePunct w:val="0"/>
        <w:bidi w:val="0"/>
        <w:spacing w:line="594" w:lineRule="exact"/>
        <w:textAlignment w:val="auto"/>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03072"/>
    <w:rsid w:val="14DF62BD"/>
    <w:rsid w:val="1FDE264A"/>
    <w:rsid w:val="21AA318D"/>
    <w:rsid w:val="283A780C"/>
    <w:rsid w:val="3AFB98BE"/>
    <w:rsid w:val="3BFFF250"/>
    <w:rsid w:val="43812E47"/>
    <w:rsid w:val="4BBD2F07"/>
    <w:rsid w:val="5C6C122E"/>
    <w:rsid w:val="5CFA4BAA"/>
    <w:rsid w:val="5FCE4AB0"/>
    <w:rsid w:val="64F4AF7B"/>
    <w:rsid w:val="69BA5372"/>
    <w:rsid w:val="6BEEBC73"/>
    <w:rsid w:val="6C5F1562"/>
    <w:rsid w:val="6CAA2135"/>
    <w:rsid w:val="71C00681"/>
    <w:rsid w:val="740D0747"/>
    <w:rsid w:val="7B77CA35"/>
    <w:rsid w:val="7F64CC09"/>
    <w:rsid w:val="7F6A471F"/>
    <w:rsid w:val="7FFD5E63"/>
    <w:rsid w:val="8FFB63F8"/>
    <w:rsid w:val="BCEBA2C6"/>
    <w:rsid w:val="BD6F0109"/>
    <w:rsid w:val="CA7F7CB9"/>
    <w:rsid w:val="DFDD828B"/>
    <w:rsid w:val="DFFE6C55"/>
    <w:rsid w:val="E69BBAF2"/>
    <w:rsid w:val="E6BB8E59"/>
    <w:rsid w:val="EEDD4856"/>
    <w:rsid w:val="EFDBAEF3"/>
    <w:rsid w:val="EFFBBA03"/>
    <w:rsid w:val="F6B345DF"/>
    <w:rsid w:val="F9DB2F2F"/>
    <w:rsid w:val="FB805E9F"/>
    <w:rsid w:val="FC7F8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xielin</dc:creator>
  <cp:lastModifiedBy>张砚哲</cp:lastModifiedBy>
  <cp:lastPrinted>2022-03-31T22:09:00Z</cp:lastPrinted>
  <dcterms:modified xsi:type="dcterms:W3CDTF">2022-07-05T16:31:37Z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