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2145097316"/>
        </w:rPr>
        <w:t>国家市场监督管理总</w:t>
      </w:r>
      <w:r>
        <w:rPr>
          <w:rFonts w:hint="default" w:ascii="Times New Roman" w:hAnsi="Times New Roman" w:eastAsia="黑体" w:cs="Times New Roman"/>
          <w:bCs/>
          <w:color w:val="000000"/>
          <w:spacing w:val="1"/>
          <w:kern w:val="0"/>
          <w:sz w:val="52"/>
          <w:szCs w:val="52"/>
          <w:fitText w:val="5742" w:id="2145097316"/>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22</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pStyle w:val="3"/>
        <w:keepNext w:val="0"/>
        <w:keepLines w:val="0"/>
        <w:pageBreakBefore w:val="0"/>
        <w:widowControl w:val="0"/>
        <w:kinsoku/>
        <w:wordWrap/>
        <w:topLinePunct w:val="0"/>
        <w:bidi w:val="0"/>
        <w:spacing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sz w:val="32"/>
          <w:lang w:eastAsia="zh-CN"/>
        </w:rPr>
        <w:t>腾讯控股</w:t>
      </w:r>
      <w:r>
        <w:rPr>
          <w:rFonts w:hint="default" w:ascii="Times New Roman" w:hAnsi="Times New Roman" w:eastAsia="仿宋_GB2312" w:cs="Times New Roman"/>
          <w:sz w:val="32"/>
          <w:lang w:val="en-US" w:eastAsia="zh-CN"/>
        </w:rPr>
        <w:t>有限公司（Tencent Holding</w:t>
      </w:r>
      <w:r>
        <w:rPr>
          <w:rFonts w:hint="eastAsia" w:ascii="Times New Roman" w:hAnsi="Times New Roman" w:eastAsia="仿宋_GB2312" w:cs="Times New Roman"/>
          <w:sz w:val="32"/>
          <w:lang w:val="en-US" w:eastAsia="zh-CN"/>
        </w:rPr>
        <w:t>s</w:t>
      </w:r>
      <w:r>
        <w:rPr>
          <w:rFonts w:hint="default" w:ascii="Times New Roman" w:hAnsi="Times New Roman" w:eastAsia="仿宋_GB2312" w:cs="Times New Roman"/>
          <w:sz w:val="32"/>
          <w:lang w:val="en-US" w:eastAsia="zh-CN"/>
        </w:rPr>
        <w:t xml:space="preserve"> Limited）</w:t>
      </w:r>
    </w:p>
    <w:p>
      <w:pPr>
        <w:pStyle w:val="3"/>
        <w:keepNext w:val="0"/>
        <w:keepLines w:val="0"/>
        <w:pageBreakBefore w:val="0"/>
        <w:widowControl w:val="0"/>
        <w:kinsoku/>
        <w:wordWrap/>
        <w:topLinePunct w:val="0"/>
        <w:bidi w:val="0"/>
        <w:spacing w:line="594" w:lineRule="exact"/>
        <w:ind w:left="0" w:leftChars="0" w:firstLine="619" w:firstLineChars="197"/>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黑体" w:cs="Times New Roman"/>
          <w:kern w:val="2"/>
          <w:sz w:val="32"/>
          <w:szCs w:val="32"/>
        </w:rPr>
        <w:t>住  所：</w:t>
      </w:r>
      <w:r>
        <w:rPr>
          <w:rFonts w:hint="default" w:ascii="Times New Roman" w:hAnsi="Times New Roman" w:eastAsia="仿宋_GB2312" w:cs="Times New Roman"/>
          <w:sz w:val="32"/>
          <w:lang w:val="en-US" w:eastAsia="zh-CN"/>
        </w:rPr>
        <w:t xml:space="preserve">Cricket Square Hutchins Drive P.O.Box 2681 Grand Cayman KYI-1111 Cayman Islands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color w:val="auto"/>
          <w:sz w:val="32"/>
          <w:lang w:val="en-US" w:eastAsia="zh-CN"/>
        </w:rPr>
        <w:t>8月12日</w:t>
      </w: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lang w:val="en-US" w:eastAsia="zh-CN"/>
        </w:rPr>
        <w:t>腾讯控股</w:t>
      </w:r>
      <w:r>
        <w:rPr>
          <w:rFonts w:hint="default" w:ascii="Times New Roman" w:hAnsi="Times New Roman" w:eastAsia="仿宋_GB2312" w:cs="Times New Roman"/>
          <w:sz w:val="32"/>
          <w:lang w:val="en-US" w:eastAsia="zh-CN"/>
        </w:rPr>
        <w:t>有限公司（以下简称</w:t>
      </w:r>
      <w:r>
        <w:rPr>
          <w:rFonts w:hint="eastAsia" w:ascii="Times New Roman" w:hAnsi="Times New Roman" w:eastAsia="仿宋_GB2312" w:cs="Times New Roman"/>
          <w:sz w:val="32"/>
          <w:lang w:val="en-US" w:eastAsia="zh-CN"/>
        </w:rPr>
        <w:t>腾讯</w:t>
      </w:r>
      <w:r>
        <w:rPr>
          <w:rFonts w:hint="default" w:ascii="Times New Roman" w:hAnsi="Times New Roman" w:eastAsia="仿宋_GB2312" w:cs="Times New Roman"/>
          <w:sz w:val="32"/>
          <w:lang w:val="en-US" w:eastAsia="zh-CN"/>
        </w:rPr>
        <w:t>）</w:t>
      </w:r>
      <w:r>
        <w:rPr>
          <w:rFonts w:hint="eastAsia" w:ascii="Times New Roman" w:hAnsi="Times New Roman" w:eastAsia="仿宋_GB2312" w:cs="Times New Roman"/>
          <w:sz w:val="32"/>
          <w:lang w:val="en-US" w:eastAsia="zh-CN"/>
        </w:rPr>
        <w:t>收购</w:t>
      </w:r>
      <w:r>
        <w:rPr>
          <w:rFonts w:hint="eastAsia" w:ascii="Times New Roman" w:hAnsi="Times New Roman" w:eastAsia="仿宋_GB2312" w:cs="仿宋_GB2312"/>
          <w:sz w:val="32"/>
          <w:szCs w:val="32"/>
          <w:highlight w:val="none"/>
          <w:lang w:val="en-US" w:eastAsia="zh-CN"/>
        </w:rPr>
        <w:t>广州市有车以后信息科技有限公司</w:t>
      </w:r>
      <w:r>
        <w:rPr>
          <w:rFonts w:hint="default" w:ascii="Times New Roman" w:hAnsi="Times New Roman" w:eastAsia="仿宋_GB2312" w:cs="Times New Roman"/>
          <w:sz w:val="32"/>
          <w:lang w:val="en-US" w:eastAsia="zh-CN"/>
        </w:rPr>
        <w:t>（以下</w:t>
      </w:r>
      <w:r>
        <w:rPr>
          <w:rFonts w:hint="eastAsia" w:eastAsia="仿宋_GB2312" w:cs="Times New Roman"/>
          <w:sz w:val="32"/>
          <w:lang w:val="en-US" w:eastAsia="zh-CN"/>
        </w:rPr>
        <w:t>简称</w:t>
      </w:r>
      <w:r>
        <w:rPr>
          <w:rFonts w:hint="eastAsia" w:ascii="Times New Roman" w:hAnsi="Times New Roman" w:eastAsia="仿宋_GB2312" w:cs="Times New Roman"/>
          <w:sz w:val="32"/>
          <w:lang w:val="en-US" w:eastAsia="zh-CN"/>
        </w:rPr>
        <w:t>有车以后</w:t>
      </w:r>
      <w:r>
        <w:rPr>
          <w:rFonts w:hint="default" w:ascii="Times New Roman" w:hAnsi="Times New Roman" w:eastAsia="仿宋_GB2312" w:cs="Times New Roman"/>
          <w:sz w:val="32"/>
          <w:lang w:val="en-US" w:eastAsia="zh-CN"/>
        </w:rPr>
        <w:t>）</w:t>
      </w:r>
      <w:r>
        <w:rPr>
          <w:rFonts w:hint="eastAsia" w:ascii="Times New Roman" w:hAnsi="Times New Roman" w:eastAsia="仿宋_GB2312" w:cs="Times New Roman"/>
          <w:sz w:val="32"/>
          <w:lang w:val="en-US" w:eastAsia="zh-CN"/>
        </w:rPr>
        <w:t>股权</w:t>
      </w:r>
      <w:r>
        <w:rPr>
          <w:rFonts w:hint="default" w:ascii="Times New Roman" w:hAnsi="Times New Roman" w:eastAsia="仿宋_GB2312" w:cs="Times New Roman"/>
          <w:sz w:val="32"/>
        </w:rPr>
        <w:t>涉嫌</w:t>
      </w:r>
      <w:r>
        <w:rPr>
          <w:rFonts w:hint="eastAsia" w:ascii="Times New Roman" w:hAnsi="Times New Roman" w:eastAsia="仿宋_GB2312" w:cs="Times New Roman"/>
          <w:sz w:val="32"/>
          <w:lang w:eastAsia="zh-CN"/>
        </w:rPr>
        <w:t>未依法申报</w:t>
      </w:r>
      <w:r>
        <w:rPr>
          <w:rFonts w:hint="default" w:ascii="Times New Roman" w:hAnsi="Times New Roman" w:eastAsia="仿宋_GB2312" w:cs="Times New Roman"/>
          <w:sz w:val="32"/>
        </w:rPr>
        <w:t>违法实施经营者集中案</w:t>
      </w:r>
      <w:r>
        <w:rPr>
          <w:rFonts w:hint="default" w:ascii="Times New Roman" w:hAnsi="Times New Roman" w:eastAsia="仿宋_GB2312" w:cs="Times New Roman"/>
          <w:kern w:val="2"/>
          <w:sz w:val="32"/>
          <w:szCs w:val="32"/>
        </w:rPr>
        <w:t>进行立案调查</w:t>
      </w:r>
      <w:r>
        <w:rPr>
          <w:rFonts w:hint="default" w:ascii="Times New Roman" w:hAnsi="Times New Roman" w:eastAsia="仿宋_GB2312" w:cs="Times New Roman"/>
          <w:color w:val="auto"/>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auto"/>
          <w:kern w:val="2"/>
          <w:sz w:val="32"/>
          <w:szCs w:val="32"/>
        </w:rPr>
        <w:t>经查，该案构成</w:t>
      </w:r>
      <w:r>
        <w:rPr>
          <w:rFonts w:hint="eastAsia"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eastAsia" w:ascii="Times New Roman" w:hAnsi="Times New Roman" w:eastAsia="仿宋_GB2312" w:cs="Times New Roman"/>
          <w:color w:val="auto"/>
          <w:kern w:val="2"/>
          <w:sz w:val="32"/>
          <w:szCs w:val="32"/>
          <w:lang w:val="en-US" w:eastAsia="zh-CN"/>
        </w:rPr>
        <w:t>腾讯</w:t>
      </w:r>
      <w:r>
        <w:rPr>
          <w:rFonts w:hint="default" w:ascii="Times New Roman" w:hAnsi="Times New Roman" w:eastAsia="仿宋_GB2312" w:cs="Times New Roman"/>
          <w:color w:val="auto"/>
          <w:kern w:val="2"/>
          <w:sz w:val="32"/>
          <w:szCs w:val="32"/>
        </w:rPr>
        <w:t>送达了《行政处罚告知书》，告知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lang w:val="en-US" w:eastAsia="zh-CN"/>
        </w:rPr>
        <w:t>腾讯</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b/>
          <w:bCs/>
          <w:kern w:val="2"/>
          <w:sz w:val="32"/>
          <w:szCs w:val="32"/>
        </w:rPr>
        <w:t>（一）交易方</w:t>
      </w:r>
      <w:r>
        <w:rPr>
          <w:rFonts w:hint="default" w:ascii="Times New Roman" w:hAnsi="Times New Roman" w:eastAsia="楷体_GB2312" w:cs="Times New Roman"/>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kern w:val="2"/>
          <w:sz w:val="32"/>
          <w:szCs w:val="32"/>
          <w:lang w:val="en-US" w:eastAsia="zh-CN" w:bidi="ar-SA"/>
        </w:rPr>
        <w:t>收购方：腾讯。</w:t>
      </w:r>
      <w:r>
        <w:rPr>
          <w:rFonts w:hint="default" w:ascii="Times New Roman" w:hAnsi="Times New Roman" w:eastAsia="仿宋_GB2312" w:cs="Times New Roman"/>
          <w:sz w:val="32"/>
          <w:lang w:val="en-US" w:eastAsia="zh-CN"/>
        </w:rPr>
        <w:t>1999</w:t>
      </w:r>
      <w:r>
        <w:rPr>
          <w:rFonts w:hint="default" w:ascii="Times New Roman" w:hAnsi="Times New Roman" w:eastAsia="仿宋_GB2312" w:cs="Times New Roman"/>
          <w:sz w:val="32"/>
          <w:lang w:eastAsia="zh-CN"/>
        </w:rPr>
        <w:t>年</w:t>
      </w:r>
      <w:r>
        <w:rPr>
          <w:rFonts w:hint="default" w:ascii="Times New Roman" w:hAnsi="Times New Roman" w:eastAsia="仿宋_GB2312" w:cs="Times New Roman"/>
          <w:sz w:val="32"/>
          <w:lang w:val="en-US" w:eastAsia="zh-CN"/>
        </w:rPr>
        <w:t>11月于</w:t>
      </w:r>
      <w:r>
        <w:rPr>
          <w:rFonts w:hint="default" w:ascii="Times New Roman" w:hAnsi="Times New Roman" w:eastAsia="仿宋_GB2312" w:cs="Times New Roman"/>
          <w:kern w:val="2"/>
          <w:sz w:val="32"/>
          <w:szCs w:val="32"/>
          <w:lang w:val="en-US" w:eastAsia="zh-CN" w:bidi="ar-SA"/>
        </w:rPr>
        <w:t>英属维尔京群岛注册成立，2004年2月迁册至英属开曼群岛，2004年6月在香港联交所上市，通过协议控制境内主要运营实体深圳市腾讯计算机系统有限公司。主要业务包括社交和通信服务、社交网络平台、游戏、网络视频服务、互动娱乐直播等</w:t>
      </w:r>
      <w:r>
        <w:rPr>
          <w:rFonts w:hint="default" w:ascii="Times New Roman" w:hAnsi="Times New Roman" w:eastAsia="仿宋_GB2312" w:cs="Times New Roman"/>
          <w:sz w:val="32"/>
          <w:szCs w:val="32"/>
        </w:rPr>
        <w:t>。201</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年全球</w:t>
      </w:r>
      <w:r>
        <w:rPr>
          <w:rFonts w:hint="default" w:ascii="Times New Roman" w:hAnsi="Times New Roman" w:eastAsia="仿宋_GB2312" w:cs="Times New Roman"/>
          <w:sz w:val="32"/>
          <w:szCs w:val="32"/>
          <w:lang w:eastAsia="zh-CN"/>
        </w:rPr>
        <w:t>营业额为</w:t>
      </w:r>
      <w:r>
        <w:rPr>
          <w:rFonts w:hint="eastAsia" w:ascii="Times New Roman" w:hAnsi="Times New Roman" w:eastAsia="仿宋_GB2312" w:cs="Times New Roman"/>
          <w:color w:val="000000"/>
          <w:sz w:val="32"/>
          <w:lang w:val="en-US" w:eastAsia="zh-CN"/>
        </w:rPr>
        <w:t>（略）人民币（币种下同）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中国境内营业额为</w:t>
      </w:r>
      <w:r>
        <w:rPr>
          <w:rFonts w:hint="eastAsia" w:ascii="Times New Roman" w:hAnsi="Times New Roman" w:eastAsia="仿宋_GB2312" w:cs="Times New Roman"/>
          <w:color w:val="000000"/>
          <w:sz w:val="32"/>
          <w:lang w:val="en-US" w:eastAsia="zh-CN"/>
        </w:rPr>
        <w:t>（略）</w:t>
      </w:r>
      <w:r>
        <w:rPr>
          <w:rFonts w:hint="default" w:ascii="Times New Roman" w:hAnsi="Times New Roman" w:eastAsia="仿宋_GB2312" w:cs="Times New Roman"/>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600" w:lineRule="exact"/>
        <w:ind w:firstLine="628" w:firstLineChars="200"/>
        <w:jc w:val="both"/>
        <w:textAlignment w:val="auto"/>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
          <w:kern w:val="2"/>
          <w:sz w:val="32"/>
          <w:szCs w:val="32"/>
          <w:lang w:val="en-US" w:eastAsia="zh-CN" w:bidi="ar-SA"/>
        </w:rPr>
        <w:t>被收购方：有车以后</w:t>
      </w:r>
      <w:r>
        <w:rPr>
          <w:rFonts w:hint="eastAsia" w:ascii="Times New Roman" w:hAnsi="Times New Roman" w:eastAsia="仿宋_GB2312" w:cs="Times New Roman"/>
          <w:b w:val="0"/>
          <w:bCs/>
          <w:kern w:val="2"/>
          <w:sz w:val="32"/>
          <w:szCs w:val="32"/>
          <w:lang w:val="en-US" w:eastAsia="zh-CN" w:bidi="ar-SA"/>
        </w:rPr>
        <w:t>。</w:t>
      </w:r>
      <w:r>
        <w:rPr>
          <w:rFonts w:ascii="Times New Roman" w:hAnsi="Times New Roman" w:eastAsia="仿宋_GB2312" w:cs="Times New Roman"/>
          <w:bCs/>
          <w:kern w:val="2"/>
          <w:sz w:val="32"/>
          <w:szCs w:val="32"/>
          <w:lang w:val="en-US" w:eastAsia="zh-CN" w:bidi="ar-SA"/>
        </w:rPr>
        <w:t>2014年于广东省广州市注册成立，最终控制人</w:t>
      </w:r>
      <w:r>
        <w:rPr>
          <w:rFonts w:hint="eastAsia" w:ascii="Times New Roman" w:hAnsi="Times New Roman" w:eastAsia="仿宋_GB2312" w:cs="Times New Roman"/>
          <w:bCs/>
          <w:kern w:val="2"/>
          <w:sz w:val="32"/>
          <w:szCs w:val="32"/>
          <w:lang w:val="en-US" w:eastAsia="zh-CN" w:bidi="ar-SA"/>
        </w:rPr>
        <w:t>为</w:t>
      </w:r>
      <w:r>
        <w:rPr>
          <w:rFonts w:hint="eastAsia" w:ascii="仿宋_GB2312" w:hAnsi="宋体" w:eastAsia="仿宋_GB2312" w:cs="宋体"/>
          <w:b w:val="0"/>
          <w:bCs w:val="0"/>
          <w:kern w:val="0"/>
          <w:sz w:val="32"/>
          <w:szCs w:val="21"/>
          <w:lang w:val="en-US" w:eastAsia="zh-CN" w:bidi="ar-SA"/>
        </w:rPr>
        <w:t>北京蓝色光标数据科技股份有限公司和管理层股东</w:t>
      </w:r>
      <w:r>
        <w:rPr>
          <w:rFonts w:ascii="Times New Roman" w:hAnsi="Times New Roman" w:eastAsia="仿宋_GB2312" w:cs="Times New Roman"/>
          <w:bCs/>
          <w:kern w:val="2"/>
          <w:sz w:val="32"/>
          <w:szCs w:val="32"/>
          <w:lang w:val="en-US" w:eastAsia="zh-CN" w:bidi="ar-SA"/>
        </w:rPr>
        <w:t>，主要从事</w:t>
      </w:r>
      <w:r>
        <w:rPr>
          <w:rFonts w:hint="eastAsia" w:ascii="Times New Roman" w:hAnsi="Times New Roman" w:eastAsia="仿宋_GB2312" w:cs="Times New Roman"/>
          <w:bCs/>
          <w:kern w:val="2"/>
          <w:sz w:val="32"/>
          <w:szCs w:val="32"/>
          <w:lang w:val="en-US" w:eastAsia="zh-CN" w:bidi="ar-SA"/>
        </w:rPr>
        <w:t>互联网汽车广告服务等</w:t>
      </w:r>
      <w:r>
        <w:rPr>
          <w:rFonts w:ascii="Times New Roman" w:hAnsi="Times New Roman" w:eastAsia="仿宋_GB2312" w:cs="Times New Roman"/>
          <w:bCs/>
          <w:kern w:val="2"/>
          <w:sz w:val="32"/>
          <w:szCs w:val="32"/>
          <w:lang w:val="en-US" w:eastAsia="zh-CN" w:bidi="ar-SA"/>
        </w:rPr>
        <w:t>业务。</w:t>
      </w:r>
      <w:r>
        <w:rPr>
          <w:rFonts w:ascii="Times New Roman" w:hAnsi="Times New Roman" w:eastAsia="仿宋_GB2312" w:cs="Times New Roman"/>
          <w:kern w:val="2"/>
          <w:sz w:val="32"/>
          <w:szCs w:val="32"/>
          <w:lang w:val="en-US" w:eastAsia="zh-CN" w:bidi="ar-SA"/>
        </w:rPr>
        <w:t>2016年全球和中国境内营业额</w:t>
      </w:r>
      <w:r>
        <w:rPr>
          <w:rFonts w:hint="eastAsia" w:ascii="Times New Roman" w:hAnsi="Times New Roman" w:eastAsia="仿宋_GB2312" w:cs="Times New Roman"/>
          <w:bCs/>
          <w:kern w:val="2"/>
          <w:sz w:val="32"/>
          <w:szCs w:val="32"/>
          <w:lang w:val="en-US" w:eastAsia="zh-CN" w:bidi="ar-SA"/>
        </w:rPr>
        <w:t>均</w:t>
      </w:r>
      <w:r>
        <w:rPr>
          <w:rFonts w:hint="eastAsia" w:eastAsia="仿宋_GB2312" w:cs="Times New Roman"/>
          <w:bCs/>
          <w:kern w:val="2"/>
          <w:sz w:val="32"/>
          <w:szCs w:val="32"/>
          <w:lang w:val="en-US" w:eastAsia="zh-CN" w:bidi="ar-SA"/>
        </w:rPr>
        <w:t>分别为</w:t>
      </w:r>
      <w:r>
        <w:rPr>
          <w:rFonts w:hint="eastAsia" w:ascii="Times New Roman" w:hAnsi="Times New Roman" w:eastAsia="仿宋_GB2312" w:cs="Times New Roman"/>
          <w:color w:val="000000"/>
          <w:sz w:val="32"/>
          <w:lang w:val="en-US" w:eastAsia="zh-CN"/>
        </w:rPr>
        <w:t>（略）</w:t>
      </w:r>
      <w:r>
        <w:rPr>
          <w:rFonts w:ascii="Times New Roman" w:hAnsi="Times New Roman" w:eastAsia="仿宋_GB2312" w:cs="Times New Roman"/>
          <w:bCs/>
          <w:kern w:val="2"/>
          <w:sz w:val="32"/>
          <w:szCs w:val="32"/>
          <w:lang w:val="en-US" w:eastAsia="zh-CN" w:bidi="ar-SA"/>
        </w:rPr>
        <w:t>。</w:t>
      </w:r>
    </w:p>
    <w:p>
      <w:pPr>
        <w:keepNext w:val="0"/>
        <w:keepLines w:val="0"/>
        <w:pageBreakBefore w:val="0"/>
        <w:widowControl w:val="0"/>
        <w:kinsoku/>
        <w:wordWrap/>
        <w:overflowPunct/>
        <w:topLinePunct w:val="0"/>
        <w:bidi w:val="0"/>
        <w:spacing w:before="0" w:after="0" w:line="600" w:lineRule="exact"/>
        <w:ind w:left="13" w:leftChars="0" w:firstLine="613" w:firstLineChars="195"/>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存续</w:t>
      </w:r>
      <w:r>
        <w:rPr>
          <w:rFonts w:hint="default" w:ascii="Times New Roman" w:hAnsi="Times New Roman" w:eastAsia="仿宋_GB2312" w:cs="Times New Roman"/>
          <w:b/>
          <w:bCs w:val="0"/>
          <w:kern w:val="2"/>
          <w:sz w:val="32"/>
          <w:szCs w:val="32"/>
          <w:lang w:val="en-US" w:eastAsia="zh-CN" w:bidi="ar-SA"/>
        </w:rPr>
        <w:t>股东：</w:t>
      </w:r>
      <w:r>
        <w:rPr>
          <w:rFonts w:hint="eastAsia" w:ascii="Times New Roman" w:hAnsi="Times New Roman" w:eastAsia="仿宋_GB2312" w:cs="Times New Roman"/>
          <w:b/>
          <w:bCs w:val="0"/>
          <w:kern w:val="2"/>
          <w:sz w:val="32"/>
          <w:szCs w:val="32"/>
          <w:lang w:val="en-US" w:eastAsia="zh-CN" w:bidi="ar-SA"/>
        </w:rPr>
        <w:t>北京蓝色光标数据科技股份有限公司（以下简称蓝色光标）</w:t>
      </w:r>
      <w:r>
        <w:rPr>
          <w:rFonts w:hint="eastAsia" w:eastAsia="仿宋_GB2312" w:cs="Times New Roman"/>
          <w:b w:val="0"/>
          <w:bCs w:val="0"/>
          <w:kern w:val="2"/>
          <w:sz w:val="32"/>
          <w:szCs w:val="32"/>
          <w:lang w:val="en-US" w:eastAsia="zh-CN" w:bidi="ar-SA"/>
        </w:rPr>
        <w:t>。</w:t>
      </w:r>
      <w:bookmarkStart w:id="0" w:name="_GoBack"/>
      <w:bookmarkEnd w:id="0"/>
      <w:r>
        <w:rPr>
          <w:rFonts w:hint="eastAsia" w:ascii="Times New Roman" w:hAnsi="Times New Roman" w:eastAsia="仿宋_GB2312" w:cs="Times New Roman"/>
          <w:b w:val="0"/>
          <w:bCs w:val="0"/>
          <w:kern w:val="2"/>
          <w:sz w:val="32"/>
          <w:szCs w:val="32"/>
          <w:lang w:val="en-US" w:eastAsia="zh-CN" w:bidi="ar-SA"/>
        </w:rPr>
        <w:t>2002年于北京市注册成立，无最终控制人，主要</w:t>
      </w:r>
      <w:r>
        <w:rPr>
          <w:rFonts w:hint="default" w:ascii="Times New Roman" w:hAnsi="Times New Roman" w:eastAsia="仿宋_GB2312" w:cs="Times New Roman"/>
          <w:b w:val="0"/>
          <w:bCs w:val="0"/>
          <w:kern w:val="2"/>
          <w:sz w:val="32"/>
          <w:szCs w:val="32"/>
          <w:lang w:val="en-US" w:eastAsia="zh-CN" w:bidi="ar-SA"/>
        </w:rPr>
        <w:t>从事</w:t>
      </w:r>
      <w:r>
        <w:rPr>
          <w:rFonts w:hint="eastAsia" w:ascii="Times New Roman" w:hAnsi="Times New Roman" w:eastAsia="仿宋_GB2312" w:cs="Times New Roman"/>
          <w:b w:val="0"/>
          <w:bCs w:val="0"/>
          <w:kern w:val="2"/>
          <w:sz w:val="32"/>
          <w:szCs w:val="32"/>
          <w:lang w:val="en-US" w:eastAsia="zh-CN" w:bidi="ar-SA"/>
        </w:rPr>
        <w:t>营销服务、数字广告等业务</w:t>
      </w:r>
      <w:r>
        <w:rPr>
          <w:rFonts w:ascii="Times New Roman" w:hAnsi="Times New Roman" w:eastAsia="宋体" w:cs="Times New Roman"/>
          <w:bCs/>
          <w:kern w:val="2"/>
          <w:sz w:val="21"/>
          <w:szCs w:val="22"/>
          <w:lang w:val="en-US" w:eastAsia="zh-CN" w:bidi="ar-SA"/>
        </w:rPr>
        <w:t>。</w:t>
      </w:r>
      <w:r>
        <w:rPr>
          <w:rFonts w:hint="eastAsia" w:ascii="Times New Roman" w:hAnsi="Times New Roman" w:eastAsia="仿宋_GB2312" w:cs="Times New Roman"/>
          <w:b w:val="0"/>
          <w:bCs w:val="0"/>
          <w:kern w:val="2"/>
          <w:sz w:val="32"/>
          <w:szCs w:val="32"/>
          <w:lang w:val="en-US" w:eastAsia="zh-CN" w:bidi="ar-SA"/>
        </w:rPr>
        <w:t>2016年全球和中国境内营业额分别</w:t>
      </w:r>
      <w:r>
        <w:rPr>
          <w:rFonts w:hint="eastAsia" w:eastAsia="仿宋_GB2312" w:cs="Times New Roman"/>
          <w:bCs/>
          <w:kern w:val="2"/>
          <w:sz w:val="32"/>
          <w:szCs w:val="32"/>
          <w:lang w:val="en-US" w:eastAsia="zh-CN" w:bidi="ar-SA"/>
        </w:rPr>
        <w:t>为</w:t>
      </w:r>
      <w:r>
        <w:rPr>
          <w:rFonts w:hint="eastAsia" w:ascii="Times New Roman" w:hAnsi="Times New Roman" w:eastAsia="仿宋_GB2312" w:cs="Times New Roman"/>
          <w:color w:val="000000"/>
          <w:sz w:val="32"/>
          <w:lang w:val="en-US" w:eastAsia="zh-CN"/>
        </w:rPr>
        <w:t>（略）</w:t>
      </w:r>
      <w:r>
        <w:rPr>
          <w:rFonts w:hint="eastAsia" w:ascii="Times New Roman" w:hAnsi="Times New Roman" w:eastAsia="仿宋_GB2312" w:cs="Times New Roman"/>
          <w:b w:val="0"/>
          <w:bCs w:val="0"/>
          <w:kern w:val="2"/>
          <w:sz w:val="32"/>
          <w:szCs w:val="32"/>
          <w:lang w:val="en-US" w:eastAsia="zh-CN" w:bidi="ar-SA"/>
        </w:rPr>
        <w:t>。</w:t>
      </w:r>
    </w:p>
    <w:p>
      <w:pPr>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jc w:val="both"/>
        <w:textAlignment w:val="auto"/>
        <w:rPr>
          <w:rFonts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kern w:val="2"/>
          <w:sz w:val="32"/>
          <w:szCs w:val="32"/>
          <w:lang w:val="en-US" w:eastAsia="zh-CN" w:bidi="ar-SA"/>
        </w:rPr>
        <w:t>存续</w:t>
      </w:r>
      <w:r>
        <w:rPr>
          <w:rFonts w:hint="default" w:ascii="Times New Roman" w:hAnsi="Times New Roman" w:eastAsia="仿宋_GB2312" w:cs="Times New Roman"/>
          <w:b/>
          <w:kern w:val="2"/>
          <w:sz w:val="32"/>
          <w:szCs w:val="32"/>
          <w:lang w:val="en-US" w:eastAsia="zh-CN" w:bidi="ar-SA"/>
        </w:rPr>
        <w:t>股东：</w:t>
      </w:r>
      <w:r>
        <w:rPr>
          <w:rFonts w:hint="eastAsia" w:ascii="Times New Roman" w:hAnsi="Times New Roman" w:eastAsia="仿宋_GB2312" w:cs="Times New Roman"/>
          <w:b/>
          <w:bCs/>
          <w:kern w:val="2"/>
          <w:sz w:val="32"/>
          <w:szCs w:val="32"/>
          <w:lang w:val="en-US" w:eastAsia="zh-CN" w:bidi="ar-SA"/>
        </w:rPr>
        <w:t>管理层股东</w:t>
      </w:r>
      <w:r>
        <w:rPr>
          <w:rFonts w:hint="eastAsia" w:ascii="Times New Roman" w:hAnsi="Times New Roman" w:eastAsia="仿宋_GB2312" w:cs="Times New Roman"/>
          <w:b w:val="0"/>
          <w:bCs w:val="0"/>
          <w:kern w:val="2"/>
          <w:sz w:val="32"/>
          <w:szCs w:val="32"/>
          <w:lang w:val="en-US" w:eastAsia="zh-CN" w:bidi="ar-SA"/>
        </w:rPr>
        <w:t>。2016年全球和中国境内营业额</w:t>
      </w:r>
      <w:r>
        <w:rPr>
          <w:rFonts w:hint="eastAsia" w:eastAsia="仿宋_GB2312" w:cs="Times New Roman"/>
          <w:b w:val="0"/>
          <w:bCs w:val="0"/>
          <w:kern w:val="2"/>
          <w:sz w:val="32"/>
          <w:szCs w:val="32"/>
          <w:lang w:val="en-US" w:eastAsia="zh-CN" w:bidi="ar-SA"/>
        </w:rPr>
        <w:t>分别</w:t>
      </w:r>
      <w:r>
        <w:rPr>
          <w:rFonts w:hint="eastAsia" w:ascii="Times New Roman" w:hAnsi="Times New Roman" w:eastAsia="仿宋_GB2312" w:cs="Times New Roman"/>
          <w:b w:val="0"/>
          <w:bCs w:val="0"/>
          <w:kern w:val="2"/>
          <w:sz w:val="32"/>
          <w:szCs w:val="32"/>
          <w:lang w:val="en-US" w:eastAsia="zh-CN" w:bidi="ar-SA"/>
        </w:rPr>
        <w:t>为</w:t>
      </w:r>
      <w:r>
        <w:rPr>
          <w:rFonts w:hint="eastAsia" w:ascii="Times New Roman" w:hAnsi="Times New Roman" w:eastAsia="仿宋_GB2312" w:cs="Times New Roman"/>
          <w:color w:val="000000"/>
          <w:sz w:val="32"/>
          <w:lang w:val="en-US" w:eastAsia="zh-CN"/>
        </w:rPr>
        <w:t>（略）</w:t>
      </w:r>
      <w:r>
        <w:rPr>
          <w:rFonts w:hint="eastAsia"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（二）交易概况。</w:t>
      </w:r>
    </w:p>
    <w:p>
      <w:pPr>
        <w:keepNext w:val="0"/>
        <w:keepLines w:val="0"/>
        <w:pageBreakBefore w:val="0"/>
        <w:widowControl w:val="0"/>
        <w:suppressAutoHyphens/>
        <w:kinsoku/>
        <w:wordWrap/>
        <w:overflowPunct w:val="0"/>
        <w:topLinePunct w:val="0"/>
        <w:autoSpaceDE w:val="0"/>
        <w:autoSpaceDN w:val="0"/>
        <w:bidi w:val="0"/>
        <w:adjustRightInd w:val="0"/>
        <w:snapToGrid w:val="0"/>
        <w:spacing w:line="594" w:lineRule="exact"/>
        <w:ind w:firstLine="628"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lang w:eastAsia="zh-CN"/>
        </w:rPr>
        <w:t>交易系股权收购</w:t>
      </w:r>
      <w:r>
        <w:rPr>
          <w:rFonts w:hint="eastAsia" w:ascii="Times New Roman" w:hAnsi="Times New Roman" w:eastAsia="宋体" w:cs="Times New Roman"/>
          <w:sz w:val="32"/>
          <w:szCs w:val="32"/>
          <w:lang w:eastAsia="zh-CN"/>
        </w:rPr>
        <w:t>。</w:t>
      </w:r>
      <w:r>
        <w:rPr>
          <w:rFonts w:hint="default" w:ascii="Times New Roman" w:hAnsi="Times New Roman" w:eastAsia="仿宋_GB2312" w:cs="Times New Roman"/>
          <w:sz w:val="32"/>
          <w:szCs w:val="32"/>
        </w:rPr>
        <w:t>2017</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20日</w:t>
      </w:r>
      <w:r>
        <w:rPr>
          <w:rFonts w:hint="eastAsia" w:ascii="Times New Roman" w:hAnsi="Times New Roman" w:eastAsia="仿宋_GB2312" w:cs="Times New Roman"/>
          <w:sz w:val="32"/>
          <w:szCs w:val="32"/>
        </w:rPr>
        <w:t>，腾讯（通过林芝腾讯投资管理有限公司）</w:t>
      </w:r>
      <w:r>
        <w:rPr>
          <w:rFonts w:hint="eastAsia" w:ascii="Times New Roman" w:hAnsi="Times New Roman" w:eastAsia="仿宋_GB2312" w:cs="Times New Roman"/>
          <w:sz w:val="32"/>
          <w:szCs w:val="32"/>
          <w:lang w:val="en-US" w:eastAsia="zh-CN"/>
        </w:rPr>
        <w:t>与</w:t>
      </w:r>
      <w:r>
        <w:rPr>
          <w:rFonts w:hint="eastAsia" w:ascii="Times New Roman" w:hAnsi="Times New Roman" w:eastAsia="仿宋_GB2312" w:cs="Times New Roman"/>
          <w:sz w:val="32"/>
          <w:szCs w:val="32"/>
        </w:rPr>
        <w:t>蓝色光标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有车以后</w:t>
      </w:r>
      <w:r>
        <w:rPr>
          <w:rFonts w:hint="eastAsia" w:ascii="Times New Roman" w:hAnsi="Times New Roman" w:eastAsia="仿宋_GB2312" w:cs="Times New Roman"/>
          <w:sz w:val="32"/>
          <w:szCs w:val="32"/>
        </w:rPr>
        <w:t>等签署《股东协议》，</w:t>
      </w:r>
      <w:r>
        <w:rPr>
          <w:rFonts w:hint="eastAsia" w:ascii="Times New Roman" w:hAnsi="Times New Roman" w:eastAsia="仿宋_GB2312" w:cs="Times New Roman"/>
          <w:sz w:val="32"/>
          <w:szCs w:val="32"/>
          <w:lang w:val="en-US" w:eastAsia="zh-CN"/>
        </w:rPr>
        <w:t>约定</w:t>
      </w:r>
      <w:r>
        <w:rPr>
          <w:rFonts w:hint="eastAsia" w:ascii="Times New Roman" w:hAnsi="Times New Roman" w:eastAsia="仿宋_GB2312" w:cs="Times New Roman"/>
          <w:sz w:val="32"/>
          <w:szCs w:val="32"/>
        </w:rPr>
        <w:t>腾讯向有车以后增资。交易后，腾讯持有有车以后</w:t>
      </w:r>
      <w:r>
        <w:rPr>
          <w:rFonts w:hint="default" w:ascii="Times New Roman" w:hAnsi="Times New Roman" w:eastAsia="仿宋_GB2312" w:cs="Times New Roman"/>
          <w:sz w:val="32"/>
          <w:szCs w:val="32"/>
        </w:rPr>
        <w:t>12.3024%</w:t>
      </w:r>
      <w:r>
        <w:rPr>
          <w:rFonts w:hint="eastAsia" w:ascii="Times New Roman" w:hAnsi="Times New Roman" w:eastAsia="仿宋_GB2312" w:cs="Times New Roman"/>
          <w:sz w:val="32"/>
          <w:szCs w:val="32"/>
        </w:rPr>
        <w:t>的股权，</w:t>
      </w:r>
      <w:r>
        <w:rPr>
          <w:rFonts w:hint="eastAsia" w:ascii="Times New Roman" w:hAnsi="Times New Roman" w:eastAsia="仿宋_GB2312" w:cs="Times New Roman"/>
          <w:sz w:val="32"/>
          <w:szCs w:val="32"/>
          <w:lang w:val="en-US" w:eastAsia="zh-CN"/>
        </w:rPr>
        <w:t>并取得有车以后的</w:t>
      </w:r>
      <w:r>
        <w:rPr>
          <w:rFonts w:hint="eastAsia" w:ascii="Times New Roman" w:hAnsi="Times New Roman" w:eastAsia="仿宋_GB2312" w:cs="Times New Roman"/>
          <w:sz w:val="32"/>
          <w:szCs w:val="32"/>
        </w:rPr>
        <w:t>共同控制权</w:t>
      </w:r>
      <w:r>
        <w:rPr>
          <w:rFonts w:hint="eastAsia" w:ascii="Times New Roman" w:hAnsi="Times New Roman" w:eastAsia="仿宋_GB2312" w:cs="Times New Roman"/>
          <w:sz w:val="32"/>
          <w:szCs w:val="32"/>
          <w:lang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（一）本案构成未依法申报违法实施的经营者集中。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600" w:lineRule="exact"/>
        <w:ind w:firstLine="628" w:firstLineChars="200"/>
        <w:textAlignment w:val="auto"/>
        <w:outlineLvl w:val="9"/>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Times New Roman" w:hAnsi="Times New Roman" w:eastAsia="仿宋_GB2312" w:cs="Times New Roman"/>
          <w:sz w:val="32"/>
          <w:szCs w:val="32"/>
        </w:rPr>
        <w:t>2017年</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20日</w:t>
      </w:r>
      <w:r>
        <w:rPr>
          <w:rFonts w:hint="eastAsia" w:ascii="Times New Roman" w:hAnsi="Times New Roman" w:eastAsia="仿宋_GB2312" w:cs="Times New Roman"/>
          <w:color w:val="000000"/>
          <w:kern w:val="2"/>
          <w:sz w:val="32"/>
          <w:szCs w:val="22"/>
          <w:lang w:val="en-US" w:eastAsia="zh-CN" w:bidi="ar-SA"/>
        </w:rPr>
        <w:t>，</w:t>
      </w:r>
      <w:r>
        <w:rPr>
          <w:rFonts w:hint="eastAsia" w:ascii="Times New Roman" w:hAnsi="Times New Roman" w:eastAsia="仿宋_GB2312" w:cs="Times New Roman"/>
          <w:sz w:val="32"/>
          <w:szCs w:val="32"/>
        </w:rPr>
        <w:t>腾讯</w:t>
      </w:r>
      <w:r>
        <w:rPr>
          <w:rFonts w:hint="eastAsia" w:ascii="Times New Roman" w:hAnsi="Times New Roman" w:eastAsia="仿宋_GB2312" w:cs="Times New Roman"/>
          <w:sz w:val="32"/>
          <w:szCs w:val="32"/>
          <w:lang w:val="en-US" w:eastAsia="zh-CN"/>
        </w:rPr>
        <w:t>收购</w:t>
      </w:r>
      <w:r>
        <w:rPr>
          <w:rFonts w:hint="eastAsia" w:ascii="Times New Roman" w:hAnsi="Times New Roman" w:eastAsia="仿宋_GB2312" w:cs="Times New Roman"/>
          <w:sz w:val="32"/>
          <w:szCs w:val="32"/>
        </w:rPr>
        <w:t>有车以后</w:t>
      </w:r>
      <w:r>
        <w:rPr>
          <w:rFonts w:hint="default" w:ascii="Times New Roman" w:hAnsi="Times New Roman" w:eastAsia="仿宋_GB2312" w:cs="Times New Roman"/>
          <w:sz w:val="32"/>
          <w:szCs w:val="32"/>
        </w:rPr>
        <w:t>12.3024%</w:t>
      </w:r>
      <w:r>
        <w:rPr>
          <w:rFonts w:hint="eastAsia" w:ascii="Times New Roman" w:hAnsi="Times New Roman" w:eastAsia="仿宋_GB2312" w:cs="Times New Roman"/>
          <w:sz w:val="32"/>
          <w:szCs w:val="32"/>
        </w:rPr>
        <w:t>的股权，</w:t>
      </w:r>
      <w:r>
        <w:rPr>
          <w:rFonts w:hint="eastAsia" w:ascii="Times New Roman" w:hAnsi="Times New Roman" w:eastAsia="仿宋_GB2312" w:cs="Times New Roman"/>
          <w:kern w:val="2"/>
          <w:sz w:val="32"/>
          <w:szCs w:val="32"/>
          <w:lang w:val="en-US" w:eastAsia="zh-CN" w:bidi="ar-SA"/>
        </w:rPr>
        <w:t>取得有车以后的共同控制权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6"/>
          <w:lang w:eastAsia="zh-CN"/>
        </w:rPr>
        <w:t>属于《反垄断法》第二十条规定的经营者集中。</w:t>
      </w:r>
    </w:p>
    <w:p>
      <w:pPr>
        <w:keepNext w:val="0"/>
        <w:keepLines w:val="0"/>
        <w:pageBreakBefore w:val="0"/>
        <w:widowControl w:val="0"/>
        <w:kinsoku/>
        <w:wordWrap/>
        <w:topLinePunct w:val="0"/>
        <w:bidi w:val="0"/>
        <w:spacing w:line="600" w:lineRule="exact"/>
        <w:ind w:firstLine="640"/>
        <w:jc w:val="both"/>
        <w:textAlignment w:val="auto"/>
        <w:rPr>
          <w:rFonts w:hint="default" w:ascii="Times New Roman" w:hAnsi="Times New Roman" w:eastAsia="仿宋_GB2312" w:cs="Times New Roman"/>
          <w:bCs/>
          <w:kern w:val="2"/>
          <w:sz w:val="32"/>
          <w:szCs w:val="32"/>
          <w:u w:val="none"/>
          <w:lang w:val="en-US" w:eastAsia="zh-CN" w:bidi="ar-SA"/>
        </w:rPr>
      </w:pPr>
      <w:r>
        <w:rPr>
          <w:rFonts w:hint="default" w:ascii="Times New Roman" w:hAnsi="Times New Roman" w:eastAsia="仿宋_GB2312" w:cs="Times New Roman"/>
          <w:bCs/>
          <w:kern w:val="2"/>
          <w:sz w:val="32"/>
          <w:szCs w:val="32"/>
          <w:u w:val="none"/>
          <w:lang w:val="en-US" w:eastAsia="zh-CN" w:bidi="ar-SA"/>
        </w:rPr>
        <w:t>腾讯</w:t>
      </w:r>
      <w:r>
        <w:rPr>
          <w:rFonts w:hint="default" w:ascii="Times New Roman" w:hAnsi="Times New Roman" w:eastAsia="仿宋_GB2312" w:cs="Times New Roman"/>
          <w:color w:val="000000"/>
          <w:kern w:val="2"/>
          <w:sz w:val="32"/>
          <w:szCs w:val="22"/>
          <w:lang w:val="en-US" w:eastAsia="zh-CN" w:bidi="ar-SA"/>
        </w:rPr>
        <w:t>201</w:t>
      </w:r>
      <w:r>
        <w:rPr>
          <w:rFonts w:hint="eastAsia" w:ascii="Times New Roman" w:hAnsi="Times New Roman" w:eastAsia="仿宋_GB2312" w:cs="Times New Roman"/>
          <w:color w:val="000000"/>
          <w:kern w:val="2"/>
          <w:sz w:val="32"/>
          <w:szCs w:val="22"/>
          <w:lang w:val="en-US" w:eastAsia="zh-CN" w:bidi="ar-SA"/>
        </w:rPr>
        <w:t>6</w:t>
      </w:r>
      <w:r>
        <w:rPr>
          <w:rFonts w:hint="default" w:ascii="Times New Roman" w:hAnsi="Times New Roman" w:eastAsia="仿宋_GB2312" w:cs="Times New Roman"/>
          <w:bCs/>
          <w:kern w:val="2"/>
          <w:sz w:val="32"/>
          <w:szCs w:val="32"/>
          <w:u w:val="none"/>
          <w:lang w:val="en-US" w:eastAsia="zh-CN" w:bidi="ar-SA"/>
        </w:rPr>
        <w:t>年全球营业额</w:t>
      </w:r>
      <w:r>
        <w:rPr>
          <w:rFonts w:hint="eastAsia" w:ascii="Times New Roman" w:hAnsi="Times New Roman" w:eastAsia="仿宋_GB2312" w:cs="Times New Roman"/>
          <w:b w:val="0"/>
          <w:bCs w:val="0"/>
          <w:kern w:val="2"/>
          <w:sz w:val="32"/>
          <w:szCs w:val="32"/>
          <w:lang w:val="en-US" w:eastAsia="zh-CN" w:bidi="ar-SA"/>
        </w:rPr>
        <w:t>为</w:t>
      </w:r>
      <w:r>
        <w:rPr>
          <w:rFonts w:hint="eastAsia" w:ascii="Times New Roman" w:hAnsi="Times New Roman" w:eastAsia="仿宋_GB2312" w:cs="Times New Roman"/>
          <w:color w:val="000000"/>
          <w:sz w:val="32"/>
          <w:lang w:val="en-US" w:eastAsia="zh-CN"/>
        </w:rPr>
        <w:t>（略）</w:t>
      </w:r>
      <w:r>
        <w:rPr>
          <w:rFonts w:hint="default" w:ascii="Times New Roman" w:hAnsi="Times New Roman" w:eastAsia="仿宋_GB2312" w:cs="Times New Roman"/>
          <w:bCs/>
          <w:kern w:val="2"/>
          <w:sz w:val="32"/>
          <w:szCs w:val="32"/>
          <w:u w:val="none"/>
          <w:lang w:val="en-US" w:eastAsia="zh-CN" w:bidi="ar-SA"/>
        </w:rPr>
        <w:t>，中国境内营业额</w:t>
      </w:r>
      <w:r>
        <w:rPr>
          <w:rFonts w:hint="eastAsia" w:ascii="Times New Roman" w:hAnsi="Times New Roman" w:eastAsia="仿宋_GB2312" w:cs="Times New Roman"/>
          <w:b w:val="0"/>
          <w:bCs w:val="0"/>
          <w:kern w:val="2"/>
          <w:sz w:val="32"/>
          <w:szCs w:val="32"/>
          <w:lang w:val="en-US" w:eastAsia="zh-CN" w:bidi="ar-SA"/>
        </w:rPr>
        <w:t>为</w:t>
      </w:r>
      <w:r>
        <w:rPr>
          <w:rFonts w:hint="eastAsia" w:ascii="Times New Roman" w:hAnsi="Times New Roman" w:eastAsia="仿宋_GB2312" w:cs="Times New Roman"/>
          <w:color w:val="000000"/>
          <w:sz w:val="32"/>
          <w:lang w:val="en-US" w:eastAsia="zh-CN"/>
        </w:rPr>
        <w:t>（略）</w:t>
      </w:r>
      <w:r>
        <w:rPr>
          <w:rFonts w:hint="default" w:ascii="Times New Roman" w:hAnsi="Times New Roman" w:eastAsia="仿宋_GB2312" w:cs="Times New Roman"/>
          <w:bCs/>
          <w:kern w:val="2"/>
          <w:sz w:val="32"/>
          <w:szCs w:val="32"/>
          <w:u w:val="none"/>
          <w:lang w:val="en-US" w:eastAsia="zh-CN" w:bidi="ar-SA"/>
        </w:rPr>
        <w:t>；</w:t>
      </w:r>
      <w:r>
        <w:rPr>
          <w:rFonts w:hint="eastAsia" w:ascii="Times New Roman" w:hAnsi="Times New Roman" w:eastAsia="仿宋_GB2312" w:cs="Times New Roman"/>
          <w:bCs/>
          <w:kern w:val="2"/>
          <w:sz w:val="32"/>
          <w:szCs w:val="32"/>
          <w:u w:val="none"/>
          <w:lang w:val="en-US" w:eastAsia="zh-CN" w:bidi="ar-SA"/>
        </w:rPr>
        <w:t>蓝色光标</w:t>
      </w:r>
      <w:r>
        <w:rPr>
          <w:rFonts w:hint="default" w:ascii="Times New Roman" w:hAnsi="Times New Roman" w:eastAsia="仿宋_GB2312" w:cs="Times New Roman"/>
          <w:bCs/>
          <w:kern w:val="2"/>
          <w:sz w:val="32"/>
          <w:szCs w:val="32"/>
          <w:u w:val="none"/>
          <w:lang w:val="en-US" w:eastAsia="zh-CN" w:bidi="ar-SA"/>
        </w:rPr>
        <w:t>201</w:t>
      </w:r>
      <w:r>
        <w:rPr>
          <w:rFonts w:hint="eastAsia" w:ascii="Times New Roman" w:hAnsi="Times New Roman" w:eastAsia="仿宋_GB2312" w:cs="Times New Roman"/>
          <w:bCs/>
          <w:kern w:val="2"/>
          <w:sz w:val="32"/>
          <w:szCs w:val="32"/>
          <w:u w:val="none"/>
          <w:lang w:val="en-US" w:eastAsia="zh-CN" w:bidi="ar-SA"/>
        </w:rPr>
        <w:t>6</w:t>
      </w:r>
      <w:r>
        <w:rPr>
          <w:rFonts w:hint="default" w:ascii="Times New Roman" w:hAnsi="Times New Roman" w:eastAsia="仿宋_GB2312" w:cs="Times New Roman"/>
          <w:bCs/>
          <w:kern w:val="2"/>
          <w:sz w:val="32"/>
          <w:szCs w:val="32"/>
          <w:u w:val="none"/>
          <w:lang w:val="en-US" w:eastAsia="zh-CN" w:bidi="ar-SA"/>
        </w:rPr>
        <w:t>年</w:t>
      </w:r>
      <w:r>
        <w:rPr>
          <w:rFonts w:hint="eastAsia" w:ascii="Times New Roman" w:hAnsi="Times New Roman" w:eastAsia="仿宋_GB2312" w:cs="Times New Roman"/>
          <w:bCs/>
          <w:kern w:val="2"/>
          <w:sz w:val="32"/>
          <w:szCs w:val="32"/>
          <w:u w:val="none"/>
          <w:lang w:val="en-US" w:eastAsia="zh-CN" w:bidi="ar-SA"/>
        </w:rPr>
        <w:t>全球营业额</w:t>
      </w:r>
      <w:r>
        <w:rPr>
          <w:rFonts w:hint="eastAsia" w:ascii="Times New Roman" w:hAnsi="Times New Roman" w:eastAsia="仿宋_GB2312" w:cs="Times New Roman"/>
          <w:b w:val="0"/>
          <w:bCs w:val="0"/>
          <w:kern w:val="2"/>
          <w:sz w:val="32"/>
          <w:szCs w:val="32"/>
          <w:lang w:val="en-US" w:eastAsia="zh-CN" w:bidi="ar-SA"/>
        </w:rPr>
        <w:t>为</w:t>
      </w:r>
      <w:r>
        <w:rPr>
          <w:rFonts w:hint="eastAsia" w:ascii="Times New Roman" w:hAnsi="Times New Roman" w:eastAsia="仿宋_GB2312" w:cs="Times New Roman"/>
          <w:color w:val="000000"/>
          <w:sz w:val="32"/>
          <w:lang w:val="en-US" w:eastAsia="zh-CN"/>
        </w:rPr>
        <w:t>（略）</w:t>
      </w:r>
      <w:r>
        <w:rPr>
          <w:rFonts w:hint="eastAsia" w:ascii="Times New Roman" w:hAnsi="Times New Roman" w:eastAsia="仿宋_GB2312" w:cs="Times New Roman"/>
          <w:bCs/>
          <w:kern w:val="2"/>
          <w:sz w:val="32"/>
          <w:szCs w:val="32"/>
          <w:u w:val="none"/>
          <w:lang w:val="en-US" w:eastAsia="zh-CN" w:bidi="ar-SA"/>
        </w:rPr>
        <w:t>，</w:t>
      </w:r>
      <w:r>
        <w:rPr>
          <w:rFonts w:hint="default" w:ascii="Times New Roman" w:hAnsi="Times New Roman" w:eastAsia="仿宋_GB2312" w:cs="Times New Roman"/>
          <w:bCs/>
          <w:kern w:val="2"/>
          <w:sz w:val="32"/>
          <w:szCs w:val="32"/>
          <w:u w:val="none"/>
          <w:lang w:val="en-US" w:eastAsia="zh-CN" w:bidi="ar-SA"/>
        </w:rPr>
        <w:t>中国境内营业额</w:t>
      </w:r>
      <w:r>
        <w:rPr>
          <w:rFonts w:hint="eastAsia" w:ascii="Times New Roman" w:hAnsi="Times New Roman" w:eastAsia="仿宋_GB2312" w:cs="Times New Roman"/>
          <w:b w:val="0"/>
          <w:bCs w:val="0"/>
          <w:kern w:val="2"/>
          <w:sz w:val="32"/>
          <w:szCs w:val="32"/>
          <w:lang w:val="en-US" w:eastAsia="zh-CN" w:bidi="ar-SA"/>
        </w:rPr>
        <w:t>为</w:t>
      </w:r>
      <w:r>
        <w:rPr>
          <w:rFonts w:hint="eastAsia" w:ascii="Times New Roman" w:hAnsi="Times New Roman" w:eastAsia="仿宋_GB2312" w:cs="Times New Roman"/>
          <w:color w:val="000000"/>
          <w:sz w:val="32"/>
          <w:lang w:val="en-US" w:eastAsia="zh-CN"/>
        </w:rPr>
        <w:t>（略）</w:t>
      </w:r>
      <w:r>
        <w:rPr>
          <w:rFonts w:hint="default" w:ascii="Times New Roman" w:hAnsi="Times New Roman" w:eastAsia="仿宋_GB2312" w:cs="Times New Roman"/>
          <w:bCs/>
          <w:kern w:val="2"/>
          <w:sz w:val="32"/>
          <w:szCs w:val="32"/>
          <w:u w:val="none"/>
          <w:lang w:val="en-US" w:eastAsia="zh-CN" w:bidi="ar-SA"/>
        </w:rPr>
        <w:t>，达到《国务院关于经营者集中申报标准的规定》第三条规定的申报标准，属于应当申报的情形。</w:t>
      </w:r>
    </w:p>
    <w:p>
      <w:pPr>
        <w:keepNext w:val="0"/>
        <w:keepLines w:val="0"/>
        <w:pageBreakBefore w:val="0"/>
        <w:widowControl w:val="0"/>
        <w:kinsoku/>
        <w:wordWrap/>
        <w:topLinePunct w:val="0"/>
        <w:bidi w:val="0"/>
        <w:adjustRightInd w:val="0"/>
        <w:snapToGrid w:val="0"/>
        <w:spacing w:line="594" w:lineRule="exact"/>
        <w:ind w:firstLine="628"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《反垄断法》第二十一条规定“经营者集中达到国务院规定的申报标准的，经营者应当事先向国务院反垄断执法机构申报，未申报的不得实施集中”。201</w:t>
      </w: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21</w:t>
      </w:r>
      <w:r>
        <w:rPr>
          <w:rFonts w:hint="default" w:ascii="Times New Roman" w:hAnsi="Times New Roman" w:eastAsia="仿宋_GB2312" w:cs="Times New Roman"/>
          <w:kern w:val="2"/>
          <w:sz w:val="32"/>
          <w:szCs w:val="32"/>
          <w:lang w:val="en-US" w:eastAsia="zh-CN" w:bidi="ar-SA"/>
        </w:rPr>
        <w:t>日，</w:t>
      </w:r>
      <w:r>
        <w:rPr>
          <w:rFonts w:hint="eastAsia" w:ascii="Times New Roman" w:hAnsi="Times New Roman" w:eastAsia="仿宋_GB2312" w:cs="Times New Roman"/>
          <w:kern w:val="2"/>
          <w:sz w:val="32"/>
          <w:szCs w:val="32"/>
          <w:lang w:val="en-US" w:eastAsia="zh-CN" w:bidi="ar-SA"/>
        </w:rPr>
        <w:t>上述交易完成股权变更登记</w:t>
      </w:r>
      <w:r>
        <w:rPr>
          <w:rFonts w:hint="default" w:ascii="Times New Roman" w:hAnsi="Times New Roman" w:eastAsia="仿宋_GB2312" w:cs="Times New Roman"/>
          <w:kern w:val="2"/>
          <w:sz w:val="32"/>
          <w:szCs w:val="32"/>
          <w:lang w:val="en-US" w:eastAsia="zh-CN" w:bidi="ar-SA"/>
        </w:rPr>
        <w:t>，在此之前未向</w:t>
      </w:r>
      <w:r>
        <w:rPr>
          <w:rFonts w:hint="eastAsia" w:ascii="Times New Roman" w:hAnsi="Times New Roman" w:eastAsia="仿宋_GB2312" w:cs="Times New Roman"/>
          <w:kern w:val="2"/>
          <w:sz w:val="32"/>
          <w:szCs w:val="32"/>
          <w:lang w:val="en-US" w:eastAsia="zh-CN" w:bidi="ar-SA"/>
        </w:rPr>
        <w:t>反垄断执法机构</w:t>
      </w:r>
      <w:r>
        <w:rPr>
          <w:rFonts w:hint="default" w:ascii="Times New Roman" w:hAnsi="Times New Roman" w:eastAsia="仿宋_GB2312" w:cs="Times New Roman"/>
          <w:kern w:val="2"/>
          <w:sz w:val="32"/>
          <w:szCs w:val="32"/>
          <w:lang w:val="en-US" w:eastAsia="zh-CN" w:bidi="ar-SA"/>
        </w:rPr>
        <w:t>申报，违反《反垄断法》第二十一条，构成未依法申报违法实施的经营者集中。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（二）本案不具有排除、限制竞争的效果。</w:t>
      </w:r>
    </w:p>
    <w:p>
      <w:pPr>
        <w:keepNext w:val="0"/>
        <w:keepLines w:val="0"/>
        <w:pageBreakBefore w:val="0"/>
        <w:widowControl w:val="0"/>
        <w:kinsoku/>
        <w:wordWrap/>
        <w:topLinePunct w:val="0"/>
        <w:bidi w:val="0"/>
        <w:adjustRightInd w:val="0"/>
        <w:snapToGrid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b w:val="0"/>
          <w:bCs w:val="0"/>
          <w:kern w:val="2"/>
          <w:sz w:val="32"/>
          <w:szCs w:val="32"/>
          <w:lang w:val="en-US" w:eastAsia="zh-CN" w:bidi="ar-SA"/>
        </w:rPr>
        <w:t>腾讯收购有车以后</w:t>
      </w:r>
      <w:r>
        <w:rPr>
          <w:rFonts w:hint="eastAsia" w:ascii="Times New Roman" w:hAnsi="Times New Roman" w:eastAsia="仿宋_GB2312" w:cs="Times New Roman"/>
          <w:kern w:val="2"/>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情况和评估结论，本机关给予</w:t>
      </w:r>
      <w:r>
        <w:rPr>
          <w:rFonts w:hint="default" w:ascii="Times New Roman" w:hAnsi="Times New Roman" w:eastAsia="仿宋_GB2312" w:cs="Times New Roman"/>
          <w:bCs/>
          <w:color w:val="000000"/>
          <w:kern w:val="2"/>
          <w:sz w:val="32"/>
          <w:szCs w:val="32"/>
          <w:lang w:val="en-US" w:eastAsia="zh-CN"/>
        </w:rPr>
        <w:t>腾讯5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kinsoku/>
        <w:wordWrap/>
        <w:topLinePunct w:val="0"/>
        <w:bidi w:val="0"/>
        <w:spacing w:line="594" w:lineRule="exact"/>
        <w:ind w:firstLine="645"/>
        <w:textAlignment w:val="auto"/>
        <w:rPr>
          <w:rFonts w:hint="eastAsia" w:ascii="Times New Roman" w:hAnsi="Times New Roman" w:eastAsia="仿宋_GB2312" w:cs="Times New Roman"/>
          <w:bCs/>
          <w:color w:val="000000"/>
          <w:kern w:val="2"/>
          <w:sz w:val="32"/>
          <w:szCs w:val="32"/>
          <w:highlight w:val="yellow"/>
          <w:lang w:val="en-US" w:eastAsia="zh-CN"/>
        </w:rPr>
      </w:pPr>
      <w:r>
        <w:rPr>
          <w:rFonts w:hint="default" w:ascii="Times New Roman" w:hAnsi="Times New Roman" w:eastAsia="仿宋_GB2312" w:cs="Times New Roman"/>
          <w:bCs/>
          <w:color w:val="000000"/>
          <w:kern w:val="2"/>
          <w:sz w:val="32"/>
          <w:szCs w:val="32"/>
          <w:lang w:eastAsia="zh-CN"/>
        </w:rPr>
        <w:t>当事人应当自收到本行政处罚决定书之日起十五日内，携缴款码到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15家中央财政非税收入收缴代理银行（工、农、中、建、交、中信、光大、招商、邮储、华夏、平安、兴业、民生、广发、浙商）任一银行网点、网上银行缴纳罚款。</w:t>
      </w:r>
      <w:r>
        <w:rPr>
          <w:rFonts w:hint="default" w:ascii="Times New Roman" w:hAnsi="Times New Roman" w:eastAsia="仿宋_GB2312" w:cs="Times New Roman"/>
          <w:bCs/>
          <w:color w:val="000000"/>
          <w:kern w:val="2"/>
          <w:sz w:val="32"/>
          <w:szCs w:val="32"/>
          <w:lang w:eastAsia="zh-CN"/>
        </w:rPr>
        <w:t>缴款码：</w:t>
      </w:r>
      <w:r>
        <w:rPr>
          <w:rFonts w:hint="eastAsia" w:eastAsia="仿宋_GB2312" w:cs="Times New Roman"/>
          <w:bCs/>
          <w:color w:val="000000"/>
          <w:kern w:val="2"/>
          <w:sz w:val="32"/>
          <w:szCs w:val="32"/>
          <w:lang w:eastAsia="zh-CN"/>
        </w:rPr>
        <w:t>（略）</w:t>
      </w:r>
      <w:r>
        <w:rPr>
          <w:rFonts w:hint="eastAsia" w:eastAsia="仿宋_GB2312" w:cs="Times New Roman"/>
          <w:bCs/>
          <w:color w:val="000000"/>
          <w:kern w:val="2"/>
          <w:sz w:val="32"/>
          <w:szCs w:val="32"/>
          <w:lang w:val="en-US" w:eastAsia="zh-CN"/>
        </w:rPr>
        <w:t xml:space="preserve"> 。</w:t>
      </w:r>
      <w:r>
        <w:rPr>
          <w:rFonts w:hint="eastAsia" w:ascii="Times New Roman" w:hAnsi="Times New Roman" w:eastAsia="仿宋_GB2312" w:cs="Times New Roman"/>
          <w:bCs/>
          <w:color w:val="000000"/>
          <w:kern w:val="2"/>
          <w:sz w:val="32"/>
          <w:szCs w:val="32"/>
          <w:lang w:eastAsia="zh-CN"/>
        </w:rPr>
        <w:t>到期不缴纳罚款的，依据《行政处罚法》第七十二条的规定，本机关将每日按罚款数额的百分之三加处罚款,并依法申请人民法院强制执行。</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 xml:space="preserve">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4</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27</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p>
      <w:pPr>
        <w:keepNext w:val="0"/>
        <w:keepLines w:val="0"/>
        <w:pageBreakBefore w:val="0"/>
        <w:widowControl w:val="0"/>
        <w:kinsoku/>
        <w:wordWrap/>
        <w:topLinePunct w:val="0"/>
        <w:bidi w:val="0"/>
        <w:spacing w:line="594" w:lineRule="exact"/>
        <w:textAlignment w:val="auto"/>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footerReference r:id="rId4" w:type="even"/>
      <w:pgSz w:w="11906" w:h="16838"/>
      <w:pgMar w:top="18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03072"/>
    <w:rsid w:val="14DF62BD"/>
    <w:rsid w:val="1FDE264A"/>
    <w:rsid w:val="21AA318D"/>
    <w:rsid w:val="283A780C"/>
    <w:rsid w:val="3AFB98BE"/>
    <w:rsid w:val="3BFFF250"/>
    <w:rsid w:val="43812E47"/>
    <w:rsid w:val="4BBD2F07"/>
    <w:rsid w:val="55EF9B96"/>
    <w:rsid w:val="5C6C122E"/>
    <w:rsid w:val="5CFA4BAA"/>
    <w:rsid w:val="64F4AF7B"/>
    <w:rsid w:val="69BA5372"/>
    <w:rsid w:val="6C5F1562"/>
    <w:rsid w:val="6CAA2135"/>
    <w:rsid w:val="71C00681"/>
    <w:rsid w:val="740D0747"/>
    <w:rsid w:val="7576EE48"/>
    <w:rsid w:val="7ADA0EBA"/>
    <w:rsid w:val="7F6A471F"/>
    <w:rsid w:val="8FFB63F8"/>
    <w:rsid w:val="A79FBAA4"/>
    <w:rsid w:val="BFD9C982"/>
    <w:rsid w:val="D5B702F4"/>
    <w:rsid w:val="DFDD828B"/>
    <w:rsid w:val="DFFE6C55"/>
    <w:rsid w:val="E6BB8E59"/>
    <w:rsid w:val="EBB4D3F8"/>
    <w:rsid w:val="EBFC0930"/>
    <w:rsid w:val="EDB40B2B"/>
    <w:rsid w:val="EFDBAEF3"/>
    <w:rsid w:val="F3C39684"/>
    <w:rsid w:val="F6B345DF"/>
    <w:rsid w:val="FB805E9F"/>
    <w:rsid w:val="FC7F8D64"/>
    <w:rsid w:val="FFFEC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xielin</dc:creator>
  <cp:lastModifiedBy>张砚哲</cp:lastModifiedBy>
  <cp:lastPrinted>2022-07-05T19:18:14Z</cp:lastPrinted>
  <dcterms:modified xsi:type="dcterms:W3CDTF">2022-07-05T19:18:17Z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