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阿里巴巴投资有限公司（Alibaba Investment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英属维尔京群岛托尔托拉岛路镇Trident大厦146号邮箱（Trident Chambers, P.O. Box 146, Road Town, Tortola, British Virgin Islands)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2021年4月12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阿里巴巴投资有限公司（Alibaba Investment Limited，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阿里投资）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eastAsia="zh-CN"/>
        </w:rPr>
        <w:t>收购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Youku Tudou Inc.（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优酷土豆）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sz w:val="32"/>
          <w:lang w:val="en-US" w:eastAsia="zh-CN"/>
        </w:rPr>
        <w:t>阿里投资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eastAsia="仿宋_GB2312" w:cs="Times New Roman"/>
          <w:sz w:val="32"/>
          <w:lang w:val="en-US" w:eastAsia="zh-CN"/>
        </w:rPr>
        <w:t>阿里投资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收购方：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阿里投资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。2000年于英属维尔京群岛注册成立，最终控制人是阿里巴巴集团控股有限公司（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以下简称阿里巴巴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）。阿里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巴巴主营业务包括网络零售平台服务、零售及批发商业、物流服务、云计算、数字媒体及娱乐、创新业务等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。201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年全球营业额为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人民币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lang w:val="en-US" w:eastAsia="zh-CN"/>
        </w:rPr>
        <w:t>币种下同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被收购方：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优酷土豆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。2005年于开曼群岛注册成立，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2010年于纽约证券交易所上市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主要通过“优酷”和“土豆”平台从事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互联网长视频平台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业务。2015年全球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中国境内营业额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略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交易系股权收购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2015年11月6日，阿里投资通过旗下Ali YK及其关联实体和优酷土豆签署《并购协议》，以每股美国存托股（ADS）27.60美元的现金收购优酷土豆全部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股权。2016年4月5日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，交易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完成股权变更登记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阿里投资收购优酷土豆100%股权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2015年度，阿里投资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全球营业额为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，中国境内营业额为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cs="Times New Roman"/>
          <w:sz w:val="32"/>
          <w:lang w:val="en-US" w:eastAsia="zh-CN"/>
        </w:rPr>
        <w:t>；优酷土豆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全球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中国境内营业额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（略）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2016年4月5日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上述交易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完成股权变更登记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阿里投资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收购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优酷土豆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现决定对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阿里投资处以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（略）。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到期不缴纳罚款的，依据《行政处罚法》第七十二条的规定，本机关将每日按罚款数额的百分之三加处罚款，并依法申请人民法院强制执行。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19C71D57"/>
    <w:rsid w:val="238405CE"/>
    <w:rsid w:val="251F784E"/>
    <w:rsid w:val="27721479"/>
    <w:rsid w:val="2DE82422"/>
    <w:rsid w:val="320A72EE"/>
    <w:rsid w:val="32ED5A26"/>
    <w:rsid w:val="331B0238"/>
    <w:rsid w:val="340C5368"/>
    <w:rsid w:val="3CB33C6A"/>
    <w:rsid w:val="3D973AFE"/>
    <w:rsid w:val="41FE4A9C"/>
    <w:rsid w:val="477829E6"/>
    <w:rsid w:val="49337785"/>
    <w:rsid w:val="50F656A6"/>
    <w:rsid w:val="52820D71"/>
    <w:rsid w:val="552762F9"/>
    <w:rsid w:val="60CC71BE"/>
    <w:rsid w:val="611E177A"/>
    <w:rsid w:val="634F39C4"/>
    <w:rsid w:val="68584021"/>
    <w:rsid w:val="6B337CD6"/>
    <w:rsid w:val="6EC37903"/>
    <w:rsid w:val="76015E5A"/>
    <w:rsid w:val="77DF73ED"/>
    <w:rsid w:val="7F3A7651"/>
    <w:rsid w:val="7FB2A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xielin</dc:creator>
  <cp:lastModifiedBy>张砚哲</cp:lastModifiedBy>
  <cp:lastPrinted>2022-05-12T22:55:00Z</cp:lastPrinted>
  <dcterms:modified xsi:type="dcterms:W3CDTF">2022-07-05T17:04:21Z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