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eastAsia="黑体"/>
          <w:bCs/>
          <w:color w:val="000000"/>
          <w:sz w:val="52"/>
          <w:szCs w:val="52"/>
        </w:rPr>
      </w:pPr>
      <w:r>
        <w:rPr>
          <w:rFonts w:eastAsia="黑体"/>
          <w:bCs/>
          <w:color w:val="000000"/>
          <w:spacing w:val="30"/>
          <w:kern w:val="0"/>
          <w:sz w:val="52"/>
          <w:szCs w:val="52"/>
          <w:fitText w:val="5742" w:id="1450529788"/>
        </w:rPr>
        <w:t>国家市场监督管理总</w:t>
      </w:r>
      <w:r>
        <w:rPr>
          <w:rFonts w:eastAsia="黑体"/>
          <w:bCs/>
          <w:color w:val="000000"/>
          <w:spacing w:val="1"/>
          <w:kern w:val="0"/>
          <w:sz w:val="52"/>
          <w:szCs w:val="52"/>
          <w:fitText w:val="5742" w:id="1450529788"/>
        </w:rPr>
        <w:t>局</w:t>
      </w:r>
    </w:p>
    <w:p>
      <w:pPr>
        <w:spacing w:line="594" w:lineRule="exact"/>
        <w:jc w:val="center"/>
        <w:rPr>
          <w:rFonts w:eastAsia="仿宋_GB2312"/>
          <w:color w:val="000000"/>
          <w:sz w:val="44"/>
          <w:szCs w:val="44"/>
        </w:rPr>
      </w:pPr>
      <w:r>
        <w:rPr>
          <w:rFonts w:eastAsia="黑体"/>
          <w:bCs/>
          <w:color w:val="000000"/>
          <w:spacing w:val="175"/>
          <w:kern w:val="0"/>
          <w:sz w:val="52"/>
          <w:szCs w:val="52"/>
          <w:fitText w:val="5742" w:id="1"/>
        </w:rPr>
        <w:t>行政处罚决定</w:t>
      </w:r>
      <w:r>
        <w:rPr>
          <w:rFonts w:eastAsia="黑体"/>
          <w:bCs/>
          <w:color w:val="000000"/>
          <w:spacing w:val="1"/>
          <w:kern w:val="0"/>
          <w:sz w:val="52"/>
          <w:szCs w:val="52"/>
          <w:fitText w:val="5742" w:id="1"/>
        </w:rPr>
        <w:t>书</w:t>
      </w:r>
    </w:p>
    <w:p>
      <w:pPr>
        <w:spacing w:line="594" w:lineRule="exact"/>
        <w:jc w:val="center"/>
        <w:rPr>
          <w:rFonts w:eastAsia="仿宋_GB2312"/>
          <w:sz w:val="32"/>
          <w:szCs w:val="32"/>
        </w:rPr>
      </w:pPr>
      <w:r>
        <w:rPr>
          <w:rFonts w:eastAsia="仿宋_GB2312"/>
          <w:sz w:val="32"/>
          <w:szCs w:val="32"/>
        </w:rPr>
        <w:t>国市监处</w:t>
      </w:r>
      <w:r>
        <w:rPr>
          <w:rFonts w:hint="eastAsia" w:eastAsia="仿宋_GB2312"/>
          <w:sz w:val="32"/>
          <w:szCs w:val="32"/>
        </w:rPr>
        <w:t>罚</w:t>
      </w:r>
      <w:r>
        <w:rPr>
          <w:rFonts w:eastAsia="仿宋_GB2312"/>
          <w:sz w:val="32"/>
          <w:szCs w:val="32"/>
        </w:rPr>
        <w:t>〔202</w:t>
      </w:r>
      <w:r>
        <w:rPr>
          <w:rFonts w:hint="eastAsia" w:eastAsia="仿宋_GB2312"/>
          <w:sz w:val="32"/>
          <w:szCs w:val="32"/>
        </w:rPr>
        <w:t>2</w:t>
      </w:r>
      <w:r>
        <w:rPr>
          <w:rFonts w:eastAsia="仿宋_GB2312"/>
          <w:sz w:val="32"/>
          <w:szCs w:val="32"/>
        </w:rPr>
        <w:t>〕</w:t>
      </w:r>
      <w:r>
        <w:rPr>
          <w:rFonts w:hint="eastAsia" w:eastAsia="仿宋_GB2312"/>
          <w:sz w:val="32"/>
          <w:szCs w:val="32"/>
          <w:lang w:val="en-US" w:eastAsia="zh-CN"/>
        </w:rPr>
        <w:t>25</w:t>
      </w:r>
      <w:r>
        <w:rPr>
          <w:rFonts w:eastAsia="仿宋_GB2312"/>
          <w:sz w:val="32"/>
          <w:szCs w:val="32"/>
        </w:rPr>
        <w:t>号</w:t>
      </w:r>
    </w:p>
    <w:p>
      <w:pPr>
        <w:spacing w:line="594" w:lineRule="exact"/>
        <w:jc w:val="center"/>
        <w:rPr>
          <w:rFonts w:eastAsia="仿宋_GB2312"/>
          <w:sz w:val="28"/>
          <w:szCs w:val="28"/>
        </w:rPr>
      </w:pPr>
    </w:p>
    <w:p>
      <w:pPr>
        <w:pStyle w:val="2"/>
        <w:spacing w:line="594" w:lineRule="exact"/>
        <w:ind w:firstLine="619" w:firstLineChars="197"/>
        <w:rPr>
          <w:rFonts w:ascii="Times New Roman" w:hAnsi="Times New Roman" w:eastAsia="仿宋_GB2312"/>
          <w:sz w:val="32"/>
        </w:rPr>
      </w:pPr>
      <w:r>
        <w:rPr>
          <w:rFonts w:ascii="Times New Roman" w:hAnsi="Times New Roman" w:eastAsia="黑体"/>
          <w:sz w:val="32"/>
          <w:szCs w:val="32"/>
        </w:rPr>
        <w:t>当事人：</w:t>
      </w:r>
      <w:r>
        <w:rPr>
          <w:rFonts w:ascii="Times New Roman" w:hAnsi="Times New Roman" w:eastAsia="仿宋_GB2312"/>
          <w:sz w:val="32"/>
        </w:rPr>
        <w:t>迪润（天津）科技有限公司</w:t>
      </w:r>
    </w:p>
    <w:p>
      <w:pPr>
        <w:suppressAutoHyphens/>
        <w:spacing w:line="594" w:lineRule="exact"/>
        <w:ind w:firstLine="628" w:firstLineChars="200"/>
        <w:rPr>
          <w:rFonts w:eastAsia="仿宋_GB2312"/>
          <w:sz w:val="32"/>
          <w:szCs w:val="32"/>
        </w:rPr>
      </w:pPr>
      <w:r>
        <w:rPr>
          <w:rFonts w:eastAsia="黑体"/>
          <w:sz w:val="32"/>
          <w:szCs w:val="32"/>
        </w:rPr>
        <w:t xml:space="preserve">住 </w:t>
      </w:r>
      <w:r>
        <w:rPr>
          <w:rFonts w:hint="eastAsia" w:eastAsia="黑体"/>
          <w:sz w:val="32"/>
          <w:szCs w:val="32"/>
        </w:rPr>
        <w:t xml:space="preserve"> </w:t>
      </w:r>
      <w:r>
        <w:rPr>
          <w:rFonts w:eastAsia="黑体"/>
          <w:sz w:val="32"/>
          <w:szCs w:val="32"/>
        </w:rPr>
        <w:t>所：</w:t>
      </w:r>
      <w:r>
        <w:rPr>
          <w:rFonts w:hint="eastAsia" w:eastAsia="仿宋_GB2312"/>
          <w:sz w:val="32"/>
          <w:szCs w:val="22"/>
        </w:rPr>
        <w:t>天津生态城动漫中路482号创智大厦203（TG第425号）</w:t>
      </w:r>
      <w:r>
        <w:rPr>
          <w:rFonts w:eastAsia="仿宋_GB2312"/>
          <w:sz w:val="32"/>
        </w:rPr>
        <w:t xml:space="preserve"> </w:t>
      </w:r>
    </w:p>
    <w:p>
      <w:pPr>
        <w:pStyle w:val="2"/>
        <w:spacing w:line="594" w:lineRule="exact"/>
        <w:ind w:firstLine="619" w:firstLineChars="197"/>
        <w:rPr>
          <w:rFonts w:ascii="Times New Roman" w:hAnsi="Times New Roman" w:eastAsia="仿宋_GB2312"/>
          <w:sz w:val="32"/>
        </w:rPr>
      </w:pPr>
      <w:r>
        <w:rPr>
          <w:rFonts w:ascii="Times New Roman" w:hAnsi="Times New Roman" w:eastAsia="黑体"/>
          <w:sz w:val="32"/>
          <w:szCs w:val="32"/>
        </w:rPr>
        <w:t>当事人：</w:t>
      </w:r>
      <w:r>
        <w:rPr>
          <w:rFonts w:ascii="Times New Roman" w:hAnsi="Times New Roman" w:eastAsia="仿宋_GB2312"/>
          <w:sz w:val="32"/>
        </w:rPr>
        <w:t>联想控股股份有限公司</w:t>
      </w:r>
    </w:p>
    <w:p>
      <w:pPr>
        <w:suppressAutoHyphens/>
        <w:overflowPunct w:val="0"/>
        <w:autoSpaceDE w:val="0"/>
        <w:autoSpaceDN w:val="0"/>
        <w:adjustRightInd w:val="0"/>
        <w:spacing w:line="594" w:lineRule="exact"/>
        <w:ind w:firstLine="628" w:firstLineChars="200"/>
        <w:rPr>
          <w:rFonts w:eastAsia="仿宋_GB2312"/>
          <w:sz w:val="32"/>
          <w:szCs w:val="22"/>
        </w:rPr>
      </w:pPr>
      <w:r>
        <w:rPr>
          <w:rFonts w:eastAsia="黑体"/>
          <w:sz w:val="32"/>
          <w:szCs w:val="32"/>
        </w:rPr>
        <w:t xml:space="preserve">住 </w:t>
      </w:r>
      <w:r>
        <w:rPr>
          <w:rFonts w:hint="eastAsia" w:eastAsia="黑体"/>
          <w:sz w:val="32"/>
          <w:szCs w:val="32"/>
        </w:rPr>
        <w:t xml:space="preserve"> </w:t>
      </w:r>
      <w:r>
        <w:rPr>
          <w:rFonts w:eastAsia="黑体"/>
          <w:sz w:val="32"/>
          <w:szCs w:val="32"/>
        </w:rPr>
        <w:t>所：</w:t>
      </w:r>
      <w:r>
        <w:rPr>
          <w:rFonts w:eastAsia="仿宋_GB2312"/>
          <w:sz w:val="32"/>
          <w:szCs w:val="22"/>
        </w:rPr>
        <w:t>北京市海淀区科学院南路2号院1号楼17层1701</w:t>
      </w:r>
    </w:p>
    <w:p>
      <w:pPr>
        <w:pStyle w:val="3"/>
        <w:ind w:firstLine="407"/>
      </w:pPr>
    </w:p>
    <w:p>
      <w:pPr>
        <w:suppressAutoHyphens/>
        <w:overflowPunct w:val="0"/>
        <w:autoSpaceDE w:val="0"/>
        <w:autoSpaceDN w:val="0"/>
        <w:adjustRightInd w:val="0"/>
        <w:spacing w:line="594" w:lineRule="exact"/>
        <w:ind w:firstLine="628" w:firstLineChars="200"/>
        <w:rPr>
          <w:rFonts w:eastAsia="仿宋_GB2312"/>
          <w:sz w:val="32"/>
          <w:szCs w:val="32"/>
        </w:rPr>
      </w:pPr>
      <w:r>
        <w:rPr>
          <w:rFonts w:eastAsia="仿宋_GB2312"/>
          <w:sz w:val="32"/>
          <w:szCs w:val="32"/>
        </w:rPr>
        <w:t>根据《中华人民共和国反垄断法》（以下简称《反垄断法》）《经营者集中审查暂行规定》，本机关于2021年</w:t>
      </w:r>
      <w:r>
        <w:rPr>
          <w:rFonts w:hint="eastAsia" w:eastAsia="仿宋_GB2312"/>
          <w:sz w:val="32"/>
        </w:rPr>
        <w:t>8</w:t>
      </w:r>
      <w:r>
        <w:rPr>
          <w:rFonts w:eastAsia="仿宋_GB2312"/>
          <w:sz w:val="32"/>
        </w:rPr>
        <w:t>月1</w:t>
      </w:r>
      <w:r>
        <w:rPr>
          <w:rFonts w:hint="eastAsia" w:eastAsia="仿宋_GB2312"/>
          <w:sz w:val="32"/>
        </w:rPr>
        <w:t>2</w:t>
      </w:r>
      <w:r>
        <w:rPr>
          <w:rFonts w:eastAsia="仿宋_GB2312"/>
          <w:sz w:val="32"/>
        </w:rPr>
        <w:t>日</w:t>
      </w:r>
      <w:r>
        <w:rPr>
          <w:rFonts w:eastAsia="仿宋_GB2312"/>
          <w:sz w:val="32"/>
          <w:szCs w:val="32"/>
        </w:rPr>
        <w:t>对</w:t>
      </w:r>
      <w:r>
        <w:rPr>
          <w:rFonts w:eastAsia="仿宋_GB2312"/>
          <w:sz w:val="32"/>
        </w:rPr>
        <w:t>迪润（天津）科技有限公司</w:t>
      </w:r>
      <w:r>
        <w:rPr>
          <w:rFonts w:hint="eastAsia" w:eastAsia="仿宋_GB2312"/>
          <w:sz w:val="32"/>
        </w:rPr>
        <w:t>（以下简称迪润天津）</w:t>
      </w:r>
      <w:r>
        <w:rPr>
          <w:rFonts w:eastAsia="仿宋_GB2312"/>
          <w:sz w:val="32"/>
        </w:rPr>
        <w:t>与联想控股股份有限公司</w:t>
      </w:r>
      <w:r>
        <w:rPr>
          <w:rFonts w:hint="eastAsia" w:eastAsia="仿宋_GB2312"/>
          <w:sz w:val="32"/>
        </w:rPr>
        <w:t>（以下简称联想）</w:t>
      </w:r>
      <w:r>
        <w:rPr>
          <w:rFonts w:eastAsia="仿宋_GB2312"/>
          <w:sz w:val="32"/>
        </w:rPr>
        <w:t>收购现代财产保险（中国）有限公司</w:t>
      </w:r>
      <w:r>
        <w:rPr>
          <w:rFonts w:hint="eastAsia" w:eastAsia="仿宋_GB2312"/>
          <w:sz w:val="32"/>
        </w:rPr>
        <w:t>（以下简称现代财险）</w:t>
      </w:r>
      <w:r>
        <w:rPr>
          <w:rFonts w:eastAsia="仿宋_GB2312"/>
          <w:sz w:val="32"/>
        </w:rPr>
        <w:t>股权涉嫌</w:t>
      </w:r>
      <w:r>
        <w:rPr>
          <w:rFonts w:hint="eastAsia" w:eastAsia="仿宋_GB2312"/>
          <w:sz w:val="32"/>
        </w:rPr>
        <w:t>未依法申报</w:t>
      </w:r>
      <w:r>
        <w:rPr>
          <w:rFonts w:eastAsia="仿宋_GB2312"/>
          <w:sz w:val="32"/>
        </w:rPr>
        <w:t>违法实施经营者集中案</w:t>
      </w:r>
      <w:r>
        <w:rPr>
          <w:rFonts w:eastAsia="仿宋_GB2312"/>
          <w:sz w:val="32"/>
          <w:szCs w:val="32"/>
        </w:rPr>
        <w:t>进行立案调查。</w:t>
      </w:r>
    </w:p>
    <w:p>
      <w:pPr>
        <w:suppressAutoHyphens/>
        <w:overflowPunct w:val="0"/>
        <w:autoSpaceDE w:val="0"/>
        <w:autoSpaceDN w:val="0"/>
        <w:adjustRightInd w:val="0"/>
        <w:spacing w:line="594" w:lineRule="exact"/>
        <w:ind w:firstLine="628" w:firstLineChars="200"/>
        <w:rPr>
          <w:rFonts w:eastAsia="仿宋_GB2312"/>
          <w:sz w:val="32"/>
          <w:szCs w:val="32"/>
        </w:rPr>
      </w:pPr>
      <w:r>
        <w:rPr>
          <w:rFonts w:eastAsia="仿宋_GB2312"/>
          <w:sz w:val="32"/>
          <w:szCs w:val="32"/>
        </w:rPr>
        <w:t>经查，该案构成</w:t>
      </w:r>
      <w:r>
        <w:rPr>
          <w:rFonts w:hint="eastAsia" w:eastAsia="仿宋_GB2312"/>
          <w:sz w:val="32"/>
          <w:szCs w:val="32"/>
        </w:rPr>
        <w:t>未依法申报</w:t>
      </w:r>
      <w:r>
        <w:rPr>
          <w:rFonts w:eastAsia="仿宋_GB2312"/>
          <w:sz w:val="32"/>
          <w:szCs w:val="32"/>
        </w:rPr>
        <w:t>违法实施经营者集中，但不具有排除、限制竞争的效果。本机关按照《中华人民共和国行政处罚法》（以下简称《行政处罚法》）的规定，向</w:t>
      </w:r>
      <w:r>
        <w:rPr>
          <w:rFonts w:hint="eastAsia" w:eastAsia="仿宋_GB2312"/>
          <w:sz w:val="32"/>
          <w:szCs w:val="22"/>
        </w:rPr>
        <w:t>迪润天津、联想</w:t>
      </w:r>
      <w:r>
        <w:rPr>
          <w:rFonts w:eastAsia="仿宋_GB2312"/>
          <w:sz w:val="32"/>
          <w:szCs w:val="32"/>
        </w:rPr>
        <w:t>送达了《行政处罚告知书》，告知</w:t>
      </w:r>
      <w:r>
        <w:rPr>
          <w:rFonts w:hint="eastAsia" w:eastAsia="仿宋_GB2312"/>
          <w:sz w:val="32"/>
          <w:szCs w:val="32"/>
        </w:rPr>
        <w:t>当事人</w:t>
      </w:r>
      <w:r>
        <w:rPr>
          <w:rFonts w:eastAsia="仿宋_GB2312"/>
          <w:sz w:val="32"/>
          <w:szCs w:val="32"/>
        </w:rPr>
        <w:t>拟作出</w:t>
      </w:r>
      <w:r>
        <w:rPr>
          <w:rFonts w:hint="eastAsia" w:eastAsia="仿宋_GB2312"/>
          <w:sz w:val="32"/>
          <w:szCs w:val="32"/>
        </w:rPr>
        <w:t>的</w:t>
      </w:r>
      <w:r>
        <w:rPr>
          <w:rFonts w:eastAsia="仿宋_GB2312"/>
          <w:sz w:val="32"/>
          <w:szCs w:val="32"/>
        </w:rPr>
        <w:t>行政处罚</w:t>
      </w:r>
      <w:r>
        <w:rPr>
          <w:rFonts w:hint="eastAsia" w:eastAsia="仿宋_GB2312"/>
          <w:sz w:val="32"/>
          <w:szCs w:val="32"/>
        </w:rPr>
        <w:t>内容及</w:t>
      </w:r>
      <w:r>
        <w:rPr>
          <w:rFonts w:eastAsia="仿宋_GB2312"/>
          <w:sz w:val="32"/>
          <w:szCs w:val="32"/>
        </w:rPr>
        <w:t>事实、理由、</w:t>
      </w:r>
      <w:r>
        <w:rPr>
          <w:rFonts w:hint="eastAsia" w:eastAsia="仿宋_GB2312"/>
          <w:sz w:val="32"/>
          <w:szCs w:val="32"/>
        </w:rPr>
        <w:t>依据</w:t>
      </w:r>
      <w:r>
        <w:rPr>
          <w:rFonts w:eastAsia="仿宋_GB2312"/>
          <w:sz w:val="32"/>
          <w:szCs w:val="32"/>
        </w:rPr>
        <w:t>，</w:t>
      </w:r>
      <w:r>
        <w:rPr>
          <w:rFonts w:hint="eastAsia" w:eastAsia="仿宋_GB2312"/>
          <w:sz w:val="32"/>
          <w:szCs w:val="32"/>
        </w:rPr>
        <w:t>并告知当事人</w:t>
      </w:r>
      <w:r>
        <w:rPr>
          <w:rFonts w:eastAsia="仿宋_GB2312"/>
          <w:sz w:val="32"/>
          <w:szCs w:val="32"/>
        </w:rPr>
        <w:t>依法享有的陈述、申辩</w:t>
      </w:r>
      <w:r>
        <w:rPr>
          <w:rFonts w:hint="eastAsia" w:eastAsia="仿宋_GB2312"/>
          <w:sz w:val="32"/>
          <w:szCs w:val="32"/>
        </w:rPr>
        <w:t>、</w:t>
      </w:r>
      <w:r>
        <w:rPr>
          <w:rFonts w:eastAsia="仿宋_GB2312"/>
          <w:sz w:val="32"/>
          <w:szCs w:val="32"/>
        </w:rPr>
        <w:t>要求听证</w:t>
      </w:r>
      <w:r>
        <w:rPr>
          <w:rFonts w:hint="eastAsia" w:eastAsia="仿宋_GB2312"/>
          <w:sz w:val="32"/>
          <w:szCs w:val="32"/>
        </w:rPr>
        <w:t>的</w:t>
      </w:r>
      <w:r>
        <w:rPr>
          <w:rFonts w:eastAsia="仿宋_GB2312"/>
          <w:sz w:val="32"/>
          <w:szCs w:val="32"/>
        </w:rPr>
        <w:t>权</w:t>
      </w:r>
      <w:r>
        <w:rPr>
          <w:rFonts w:hint="eastAsia" w:eastAsia="仿宋_GB2312"/>
          <w:sz w:val="32"/>
          <w:szCs w:val="32"/>
        </w:rPr>
        <w:t>利</w:t>
      </w:r>
      <w:r>
        <w:rPr>
          <w:rFonts w:eastAsia="仿宋_GB2312"/>
          <w:sz w:val="32"/>
          <w:szCs w:val="32"/>
        </w:rPr>
        <w:t>。</w:t>
      </w:r>
      <w:r>
        <w:rPr>
          <w:rFonts w:hint="eastAsia" w:eastAsia="仿宋_GB2312"/>
          <w:sz w:val="32"/>
          <w:szCs w:val="22"/>
        </w:rPr>
        <w:t>迪润天津、联想</w:t>
      </w:r>
      <w:r>
        <w:rPr>
          <w:rFonts w:eastAsia="仿宋_GB2312"/>
          <w:sz w:val="32"/>
          <w:szCs w:val="32"/>
        </w:rPr>
        <w:t>在规定期限内没有提出陈述、申辩意见或要求举行听证。本案现已调查、审理终结。</w:t>
      </w:r>
    </w:p>
    <w:p>
      <w:pPr>
        <w:suppressAutoHyphens/>
        <w:overflowPunct w:val="0"/>
        <w:autoSpaceDE w:val="0"/>
        <w:autoSpaceDN w:val="0"/>
        <w:adjustRightInd w:val="0"/>
        <w:spacing w:line="594" w:lineRule="exact"/>
        <w:ind w:firstLine="628" w:firstLineChars="200"/>
        <w:rPr>
          <w:rFonts w:eastAsia="黑体"/>
          <w:sz w:val="32"/>
          <w:szCs w:val="32"/>
        </w:rPr>
      </w:pPr>
      <w:r>
        <w:rPr>
          <w:rFonts w:eastAsia="黑体"/>
          <w:sz w:val="32"/>
          <w:szCs w:val="32"/>
        </w:rPr>
        <w:t>一、基本情况</w:t>
      </w:r>
    </w:p>
    <w:p>
      <w:pPr>
        <w:suppressAutoHyphens/>
        <w:overflowPunct w:val="0"/>
        <w:autoSpaceDE w:val="0"/>
        <w:autoSpaceDN w:val="0"/>
        <w:adjustRightInd w:val="0"/>
        <w:spacing w:line="594" w:lineRule="exact"/>
        <w:ind w:firstLine="628" w:firstLineChars="200"/>
        <w:rPr>
          <w:rFonts w:eastAsia="楷体_GB2312"/>
          <w:b/>
          <w:bCs/>
          <w:sz w:val="32"/>
          <w:szCs w:val="32"/>
        </w:rPr>
      </w:pPr>
      <w:r>
        <w:rPr>
          <w:rFonts w:eastAsia="楷体_GB2312"/>
          <w:b/>
          <w:bCs/>
          <w:sz w:val="32"/>
          <w:szCs w:val="32"/>
        </w:rPr>
        <w:t>（一）交易方。</w:t>
      </w:r>
    </w:p>
    <w:p>
      <w:pPr>
        <w:suppressAutoHyphens/>
        <w:overflowPunct w:val="0"/>
        <w:autoSpaceDE w:val="0"/>
        <w:autoSpaceDN w:val="0"/>
        <w:adjustRightInd w:val="0"/>
        <w:spacing w:line="594" w:lineRule="exact"/>
        <w:ind w:firstLine="628" w:firstLineChars="200"/>
        <w:rPr>
          <w:rFonts w:eastAsia="仿宋_GB2312"/>
          <w:bCs/>
          <w:sz w:val="32"/>
          <w:szCs w:val="32"/>
        </w:rPr>
      </w:pPr>
      <w:bookmarkStart w:id="0" w:name="OLE_LINK1"/>
      <w:bookmarkStart w:id="1" w:name="OLE_LINK2"/>
      <w:r>
        <w:rPr>
          <w:rFonts w:hint="eastAsia" w:eastAsia="仿宋_GB2312"/>
          <w:b/>
          <w:bCs w:val="0"/>
          <w:sz w:val="32"/>
          <w:szCs w:val="32"/>
        </w:rPr>
        <w:t>收购方一：</w:t>
      </w:r>
      <w:bookmarkEnd w:id="0"/>
      <w:bookmarkEnd w:id="1"/>
      <w:r>
        <w:rPr>
          <w:rFonts w:hint="eastAsia" w:eastAsia="仿宋_GB2312"/>
          <w:b/>
          <w:bCs w:val="0"/>
          <w:sz w:val="32"/>
          <w:szCs w:val="32"/>
        </w:rPr>
        <w:t>迪润天津。</w:t>
      </w:r>
      <w:r>
        <w:rPr>
          <w:rFonts w:hint="eastAsia" w:eastAsia="仿宋_GB2312"/>
          <w:bCs/>
          <w:sz w:val="32"/>
          <w:szCs w:val="32"/>
        </w:rPr>
        <w:t>2013年1月14日于天津市注册成立，系北京小桔科技有限公司（以下简称滴滴集团）全资子公司，最终控制人是</w:t>
      </w:r>
      <w:r>
        <w:rPr>
          <w:rFonts w:hint="eastAsia" w:ascii="Times New Roman" w:hAnsi="Times New Roman" w:eastAsia="仿宋_GB2312" w:cs="Times New Roman"/>
          <w:kern w:val="2"/>
          <w:sz w:val="32"/>
          <w:szCs w:val="32"/>
          <w:lang w:val="en-US" w:eastAsia="zh-CN" w:bidi="ar-SA"/>
        </w:rPr>
        <w:t>（略）</w:t>
      </w:r>
      <w:r>
        <w:rPr>
          <w:rFonts w:hint="eastAsia" w:eastAsia="仿宋_GB2312"/>
          <w:bCs/>
          <w:sz w:val="32"/>
          <w:szCs w:val="32"/>
        </w:rPr>
        <w:t>，主要从事金融资产投资及运营管理业务。滴滴集团主要从事网络预约出租汽车服务。2019年全球营业额为</w:t>
      </w:r>
      <w:r>
        <w:rPr>
          <w:rFonts w:hint="eastAsia" w:ascii="Times New Roman" w:hAnsi="Times New Roman" w:eastAsia="仿宋_GB2312" w:cs="Times New Roman"/>
          <w:kern w:val="2"/>
          <w:sz w:val="32"/>
          <w:szCs w:val="32"/>
          <w:lang w:val="en-US" w:eastAsia="zh-CN" w:bidi="ar-SA"/>
        </w:rPr>
        <w:t>（略）人民币（币种下同）</w:t>
      </w:r>
      <w:r>
        <w:rPr>
          <w:rFonts w:hint="eastAsia" w:eastAsia="仿宋_GB2312"/>
          <w:bCs/>
          <w:sz w:val="32"/>
          <w:szCs w:val="32"/>
        </w:rPr>
        <w:t>，中国境内营业额为</w:t>
      </w:r>
      <w:r>
        <w:rPr>
          <w:rFonts w:hint="eastAsia" w:ascii="Times New Roman" w:hAnsi="Times New Roman" w:eastAsia="仿宋_GB2312" w:cs="Times New Roman"/>
          <w:kern w:val="2"/>
          <w:sz w:val="32"/>
          <w:szCs w:val="32"/>
          <w:lang w:val="en-US" w:eastAsia="zh-CN" w:bidi="ar-SA"/>
        </w:rPr>
        <w:t>（略）</w:t>
      </w:r>
      <w:r>
        <w:rPr>
          <w:rFonts w:hint="eastAsia" w:eastAsia="仿宋_GB2312"/>
          <w:bCs/>
          <w:sz w:val="32"/>
          <w:szCs w:val="32"/>
        </w:rPr>
        <w:t>。</w:t>
      </w:r>
    </w:p>
    <w:p>
      <w:pPr>
        <w:suppressAutoHyphens/>
        <w:overflowPunct w:val="0"/>
        <w:autoSpaceDE w:val="0"/>
        <w:autoSpaceDN w:val="0"/>
        <w:adjustRightInd w:val="0"/>
        <w:spacing w:line="594" w:lineRule="exact"/>
        <w:ind w:firstLine="628" w:firstLineChars="200"/>
        <w:rPr>
          <w:rFonts w:eastAsia="仿宋_GB2312"/>
          <w:bCs/>
          <w:sz w:val="32"/>
          <w:szCs w:val="32"/>
        </w:rPr>
      </w:pPr>
      <w:r>
        <w:rPr>
          <w:rFonts w:hint="eastAsia" w:eastAsia="仿宋_GB2312"/>
          <w:b/>
          <w:bCs w:val="0"/>
          <w:sz w:val="32"/>
          <w:szCs w:val="32"/>
        </w:rPr>
        <w:t>收购方二：联想。</w:t>
      </w:r>
      <w:r>
        <w:rPr>
          <w:rFonts w:hint="eastAsia" w:eastAsia="仿宋_GB2312"/>
          <w:b w:val="0"/>
          <w:bCs/>
          <w:sz w:val="32"/>
          <w:szCs w:val="32"/>
        </w:rPr>
        <w:t>20</w:t>
      </w:r>
      <w:r>
        <w:rPr>
          <w:rFonts w:hint="eastAsia" w:eastAsia="仿宋_GB2312"/>
          <w:bCs/>
          <w:sz w:val="32"/>
          <w:szCs w:val="32"/>
        </w:rPr>
        <w:t>01年6月22日于北京市注册成立，主要从事投资业务。2019年全球营业额为</w:t>
      </w:r>
      <w:r>
        <w:rPr>
          <w:rFonts w:hint="eastAsia" w:ascii="Times New Roman" w:hAnsi="Times New Roman" w:eastAsia="仿宋_GB2312" w:cs="Times New Roman"/>
          <w:kern w:val="2"/>
          <w:sz w:val="32"/>
          <w:szCs w:val="32"/>
          <w:lang w:val="en-US" w:eastAsia="zh-CN" w:bidi="ar-SA"/>
        </w:rPr>
        <w:t>（略）</w:t>
      </w:r>
      <w:r>
        <w:rPr>
          <w:rFonts w:hint="eastAsia" w:eastAsia="仿宋_GB2312"/>
          <w:bCs/>
          <w:sz w:val="32"/>
          <w:szCs w:val="32"/>
        </w:rPr>
        <w:t>，中国境内营业额为</w:t>
      </w:r>
      <w:r>
        <w:rPr>
          <w:rFonts w:hint="eastAsia" w:ascii="Times New Roman" w:hAnsi="Times New Roman" w:eastAsia="仿宋_GB2312" w:cs="Times New Roman"/>
          <w:kern w:val="2"/>
          <w:sz w:val="32"/>
          <w:szCs w:val="32"/>
          <w:lang w:val="en-US" w:eastAsia="zh-CN" w:bidi="ar-SA"/>
        </w:rPr>
        <w:t>（略）</w:t>
      </w:r>
      <w:r>
        <w:rPr>
          <w:rFonts w:hint="eastAsia" w:eastAsia="仿宋_GB2312"/>
          <w:bCs/>
          <w:sz w:val="32"/>
          <w:szCs w:val="32"/>
        </w:rPr>
        <w:t>。</w:t>
      </w:r>
    </w:p>
    <w:p>
      <w:pPr>
        <w:suppressAutoHyphens/>
        <w:overflowPunct w:val="0"/>
        <w:autoSpaceDE w:val="0"/>
        <w:autoSpaceDN w:val="0"/>
        <w:adjustRightInd w:val="0"/>
        <w:spacing w:line="594" w:lineRule="exact"/>
        <w:ind w:firstLine="628" w:firstLineChars="200"/>
        <w:rPr>
          <w:rFonts w:eastAsia="仿宋_GB2312"/>
          <w:bCs/>
          <w:sz w:val="32"/>
          <w:szCs w:val="32"/>
        </w:rPr>
      </w:pPr>
      <w:r>
        <w:rPr>
          <w:rFonts w:hint="eastAsia" w:eastAsia="仿宋_GB2312"/>
          <w:b/>
          <w:bCs w:val="0"/>
          <w:sz w:val="32"/>
          <w:szCs w:val="32"/>
        </w:rPr>
        <w:t>被收购方：现代财险。</w:t>
      </w:r>
      <w:r>
        <w:rPr>
          <w:rFonts w:hint="eastAsia" w:eastAsia="仿宋_GB2312"/>
          <w:sz w:val="32"/>
          <w:szCs w:val="22"/>
        </w:rPr>
        <w:t>2007年3月2日</w:t>
      </w:r>
      <w:r>
        <w:rPr>
          <w:rFonts w:eastAsia="仿宋_GB2312"/>
          <w:sz w:val="32"/>
          <w:szCs w:val="22"/>
        </w:rPr>
        <w:t>于</w:t>
      </w:r>
      <w:r>
        <w:rPr>
          <w:rFonts w:hint="eastAsia" w:eastAsia="仿宋_GB2312"/>
          <w:sz w:val="32"/>
          <w:szCs w:val="22"/>
        </w:rPr>
        <w:t>北京市注册成立，最终控制人是</w:t>
      </w:r>
      <w:bookmarkStart w:id="2" w:name="OLE_LINK106"/>
      <w:bookmarkStart w:id="3" w:name="OLE_LINK114"/>
      <w:r>
        <w:rPr>
          <w:rFonts w:hint="eastAsia" w:eastAsia="仿宋_GB2312"/>
          <w:sz w:val="32"/>
          <w:szCs w:val="22"/>
        </w:rPr>
        <w:t>现代海上火灾保险株式会社</w:t>
      </w:r>
      <w:bookmarkEnd w:id="2"/>
      <w:bookmarkEnd w:id="3"/>
      <w:r>
        <w:rPr>
          <w:rFonts w:hint="eastAsia" w:eastAsia="仿宋_GB2312"/>
          <w:sz w:val="32"/>
          <w:szCs w:val="22"/>
        </w:rPr>
        <w:t>（以下简称现代海上），主要从事财产保险业务。2019年全球营业额为</w:t>
      </w:r>
      <w:r>
        <w:rPr>
          <w:rFonts w:hint="eastAsia" w:ascii="Times New Roman" w:hAnsi="Times New Roman" w:eastAsia="仿宋_GB2312" w:cs="Times New Roman"/>
          <w:kern w:val="2"/>
          <w:sz w:val="32"/>
          <w:szCs w:val="32"/>
          <w:lang w:val="en-US" w:eastAsia="zh-CN" w:bidi="ar-SA"/>
        </w:rPr>
        <w:t>（略）</w:t>
      </w:r>
      <w:r>
        <w:rPr>
          <w:rFonts w:hint="eastAsia" w:eastAsia="仿宋_GB2312"/>
          <w:sz w:val="32"/>
          <w:szCs w:val="22"/>
        </w:rPr>
        <w:t>，中国境内营业额</w:t>
      </w:r>
      <w:r>
        <w:rPr>
          <w:rFonts w:hint="eastAsia" w:eastAsia="仿宋_GB2312"/>
          <w:sz w:val="32"/>
          <w:szCs w:val="22"/>
          <w:lang w:eastAsia="zh-CN"/>
        </w:rPr>
        <w:t>为</w:t>
      </w:r>
      <w:r>
        <w:rPr>
          <w:rFonts w:hint="eastAsia" w:ascii="Times New Roman" w:hAnsi="Times New Roman" w:eastAsia="仿宋_GB2312" w:cs="Times New Roman"/>
          <w:kern w:val="2"/>
          <w:sz w:val="32"/>
          <w:szCs w:val="32"/>
          <w:lang w:val="en-US" w:eastAsia="zh-CN" w:bidi="ar-SA"/>
        </w:rPr>
        <w:t>（略）</w:t>
      </w:r>
      <w:r>
        <w:rPr>
          <w:rFonts w:hint="eastAsia" w:eastAsia="仿宋_GB2312"/>
          <w:sz w:val="32"/>
          <w:szCs w:val="22"/>
        </w:rPr>
        <w:t>。</w:t>
      </w:r>
    </w:p>
    <w:p>
      <w:pPr>
        <w:suppressAutoHyphens/>
        <w:overflowPunct w:val="0"/>
        <w:autoSpaceDE w:val="0"/>
        <w:autoSpaceDN w:val="0"/>
        <w:adjustRightInd w:val="0"/>
        <w:spacing w:line="594" w:lineRule="exact"/>
        <w:ind w:firstLine="628" w:firstLineChars="200"/>
        <w:rPr>
          <w:rFonts w:eastAsia="仿宋_GB2312"/>
          <w:bCs/>
          <w:sz w:val="32"/>
          <w:szCs w:val="32"/>
        </w:rPr>
      </w:pPr>
      <w:r>
        <w:rPr>
          <w:rFonts w:hint="eastAsia" w:eastAsia="仿宋_GB2312"/>
          <w:b/>
          <w:bCs w:val="0"/>
          <w:sz w:val="32"/>
          <w:szCs w:val="32"/>
        </w:rPr>
        <w:t>被收购方原股东：现代海上。</w:t>
      </w:r>
      <w:r>
        <w:rPr>
          <w:rFonts w:hint="eastAsia" w:eastAsia="仿宋_GB2312"/>
          <w:sz w:val="32"/>
          <w:szCs w:val="22"/>
        </w:rPr>
        <w:t>1955年3月5日于韩国注册成立，无最终控制人，主要从事</w:t>
      </w:r>
      <w:bookmarkStart w:id="4" w:name="OLE_LINK25"/>
      <w:bookmarkStart w:id="5" w:name="OLE_LINK24"/>
      <w:r>
        <w:rPr>
          <w:rFonts w:hint="eastAsia" w:eastAsia="仿宋_GB2312"/>
          <w:sz w:val="32"/>
          <w:szCs w:val="22"/>
        </w:rPr>
        <w:t>财产保险业务</w:t>
      </w:r>
      <w:bookmarkEnd w:id="4"/>
      <w:bookmarkEnd w:id="5"/>
      <w:r>
        <w:rPr>
          <w:rFonts w:hint="eastAsia" w:eastAsia="仿宋_GB2312"/>
          <w:sz w:val="32"/>
          <w:szCs w:val="22"/>
        </w:rPr>
        <w:t>。2019年全球营业额为</w:t>
      </w:r>
      <w:r>
        <w:rPr>
          <w:rFonts w:hint="eastAsia" w:ascii="Times New Roman" w:hAnsi="Times New Roman" w:eastAsia="仿宋_GB2312" w:cs="Times New Roman"/>
          <w:kern w:val="2"/>
          <w:sz w:val="32"/>
          <w:szCs w:val="32"/>
          <w:lang w:val="en-US" w:eastAsia="zh-CN" w:bidi="ar-SA"/>
        </w:rPr>
        <w:t>（略）</w:t>
      </w:r>
      <w:r>
        <w:rPr>
          <w:rFonts w:hint="eastAsia" w:eastAsia="仿宋_GB2312"/>
          <w:sz w:val="32"/>
          <w:szCs w:val="22"/>
        </w:rPr>
        <w:t>，中国境内营业额为</w:t>
      </w:r>
      <w:r>
        <w:rPr>
          <w:rFonts w:hint="eastAsia" w:ascii="Times New Roman" w:hAnsi="Times New Roman" w:eastAsia="仿宋_GB2312" w:cs="Times New Roman"/>
          <w:kern w:val="2"/>
          <w:sz w:val="32"/>
          <w:szCs w:val="32"/>
          <w:lang w:val="en-US" w:eastAsia="zh-CN" w:bidi="ar-SA"/>
        </w:rPr>
        <w:t>（略）</w:t>
      </w:r>
      <w:r>
        <w:rPr>
          <w:rFonts w:hint="eastAsia" w:eastAsia="仿宋_GB2312"/>
          <w:sz w:val="32"/>
          <w:szCs w:val="22"/>
        </w:rPr>
        <w:t>。</w:t>
      </w:r>
    </w:p>
    <w:p>
      <w:pPr>
        <w:suppressAutoHyphens/>
        <w:overflowPunct w:val="0"/>
        <w:autoSpaceDE w:val="0"/>
        <w:autoSpaceDN w:val="0"/>
        <w:adjustRightInd w:val="0"/>
        <w:spacing w:line="594" w:lineRule="exact"/>
        <w:ind w:firstLine="628" w:firstLineChars="200"/>
        <w:rPr>
          <w:rFonts w:eastAsia="楷体_GB2312"/>
          <w:b/>
          <w:bCs/>
          <w:sz w:val="32"/>
          <w:szCs w:val="32"/>
        </w:rPr>
      </w:pPr>
      <w:r>
        <w:rPr>
          <w:rFonts w:eastAsia="楷体_GB2312"/>
          <w:b/>
          <w:bCs/>
          <w:sz w:val="32"/>
          <w:szCs w:val="32"/>
        </w:rPr>
        <w:t>（二）交易概况。</w:t>
      </w:r>
    </w:p>
    <w:p>
      <w:pPr>
        <w:suppressAutoHyphens/>
        <w:overflowPunct w:val="0"/>
        <w:autoSpaceDE w:val="0"/>
        <w:autoSpaceDN w:val="0"/>
        <w:adjustRightInd w:val="0"/>
        <w:ind w:firstLine="628" w:firstLineChars="200"/>
        <w:rPr>
          <w:rFonts w:eastAsia="仿宋_GB2312"/>
          <w:bCs/>
          <w:sz w:val="32"/>
          <w:szCs w:val="32"/>
        </w:rPr>
      </w:pPr>
      <w:r>
        <w:rPr>
          <w:rFonts w:eastAsia="仿宋_GB2312"/>
          <w:bCs/>
          <w:sz w:val="32"/>
          <w:szCs w:val="32"/>
        </w:rPr>
        <w:t>本交易系</w:t>
      </w:r>
      <w:r>
        <w:rPr>
          <w:rFonts w:hint="eastAsia" w:eastAsia="仿宋_GB2312"/>
          <w:bCs/>
          <w:sz w:val="32"/>
          <w:szCs w:val="32"/>
        </w:rPr>
        <w:t>股权收购</w:t>
      </w:r>
      <w:r>
        <w:rPr>
          <w:rFonts w:eastAsia="仿宋_GB2312"/>
          <w:bCs/>
          <w:sz w:val="32"/>
          <w:szCs w:val="32"/>
        </w:rPr>
        <w:t>。</w:t>
      </w:r>
      <w:r>
        <w:rPr>
          <w:rFonts w:hint="eastAsia" w:eastAsia="仿宋_GB2312"/>
          <w:sz w:val="32"/>
          <w:szCs w:val="22"/>
        </w:rPr>
        <w:t>2019年7月，迪润天津、联想与现代海上</w:t>
      </w:r>
      <w:r>
        <w:rPr>
          <w:rFonts w:hint="eastAsia" w:eastAsia="仿宋_GB2312"/>
          <w:sz w:val="32"/>
          <w:szCs w:val="22"/>
          <w:lang w:eastAsia="zh-CN"/>
        </w:rPr>
        <w:t>等</w:t>
      </w:r>
      <w:r>
        <w:rPr>
          <w:rFonts w:hint="eastAsia" w:eastAsia="仿宋_GB2312"/>
          <w:sz w:val="32"/>
          <w:szCs w:val="22"/>
        </w:rPr>
        <w:t>签订《合资经营合同》，迪润天津、联想分别认缴现代财险注册资本。本交易完成后，迪润天津、联想与现代海上分别持有现代财险32%、32%、33%股权。2020年4月13日，完成股权变更登记。</w:t>
      </w:r>
    </w:p>
    <w:p>
      <w:pPr>
        <w:suppressAutoHyphens/>
        <w:overflowPunct w:val="0"/>
        <w:autoSpaceDE w:val="0"/>
        <w:autoSpaceDN w:val="0"/>
        <w:adjustRightInd w:val="0"/>
        <w:spacing w:line="594" w:lineRule="exact"/>
        <w:ind w:firstLine="628" w:firstLineChars="200"/>
        <w:rPr>
          <w:rFonts w:eastAsia="黑体"/>
          <w:sz w:val="32"/>
          <w:szCs w:val="32"/>
        </w:rPr>
      </w:pPr>
      <w:r>
        <w:rPr>
          <w:rFonts w:eastAsia="黑体"/>
          <w:sz w:val="32"/>
          <w:szCs w:val="32"/>
        </w:rPr>
        <w:t>二、违法事实及理由</w:t>
      </w:r>
    </w:p>
    <w:p>
      <w:pPr>
        <w:suppressAutoHyphens/>
        <w:overflowPunct w:val="0"/>
        <w:autoSpaceDE w:val="0"/>
        <w:autoSpaceDN w:val="0"/>
        <w:adjustRightInd w:val="0"/>
        <w:spacing w:line="594" w:lineRule="exact"/>
        <w:ind w:firstLine="628" w:firstLineChars="200"/>
        <w:rPr>
          <w:rFonts w:eastAsia="楷体_GB2312"/>
          <w:b/>
          <w:bCs/>
          <w:sz w:val="32"/>
          <w:szCs w:val="32"/>
        </w:rPr>
      </w:pPr>
      <w:r>
        <w:rPr>
          <w:rFonts w:eastAsia="楷体_GB2312"/>
          <w:b/>
          <w:bCs/>
          <w:sz w:val="32"/>
          <w:szCs w:val="32"/>
        </w:rPr>
        <w:t>（一）本案构成未依法申报违法实施的经营者集中。</w:t>
      </w:r>
    </w:p>
    <w:p>
      <w:pPr>
        <w:suppressAutoHyphens/>
        <w:overflowPunct w:val="0"/>
        <w:autoSpaceDE w:val="0"/>
        <w:autoSpaceDN w:val="0"/>
        <w:adjustRightInd w:val="0"/>
        <w:spacing w:line="594" w:lineRule="exact"/>
        <w:ind w:firstLine="628" w:firstLineChars="200"/>
        <w:rPr>
          <w:rFonts w:eastAsia="仿宋_GB2312"/>
          <w:kern w:val="0"/>
          <w:sz w:val="32"/>
          <w:szCs w:val="32"/>
        </w:rPr>
      </w:pPr>
      <w:r>
        <w:rPr>
          <w:rFonts w:eastAsia="仿宋_GB2312"/>
          <w:kern w:val="0"/>
          <w:sz w:val="32"/>
          <w:szCs w:val="32"/>
        </w:rPr>
        <w:t>《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迪润天津、联想分别收购现代财险32%股权，取得共同控制权，属于《反垄断法》第二十条规定的经营者集中。</w:t>
      </w:r>
    </w:p>
    <w:p>
      <w:pPr>
        <w:suppressAutoHyphens/>
        <w:overflowPunct w:val="0"/>
        <w:autoSpaceDE w:val="0"/>
        <w:autoSpaceDN w:val="0"/>
        <w:adjustRightInd w:val="0"/>
        <w:spacing w:line="594" w:lineRule="exact"/>
        <w:ind w:firstLine="628" w:firstLineChars="200"/>
        <w:rPr>
          <w:rFonts w:eastAsia="仿宋_GB2312"/>
          <w:kern w:val="0"/>
          <w:sz w:val="32"/>
          <w:szCs w:val="32"/>
        </w:rPr>
      </w:pPr>
      <w:r>
        <w:rPr>
          <w:rFonts w:eastAsia="仿宋_GB2312"/>
          <w:kern w:val="0"/>
          <w:sz w:val="32"/>
          <w:szCs w:val="32"/>
        </w:rPr>
        <w:t>2019</w:t>
      </w:r>
      <w:r>
        <w:rPr>
          <w:rFonts w:hint="eastAsia" w:eastAsia="仿宋_GB2312"/>
          <w:kern w:val="0"/>
          <w:sz w:val="32"/>
          <w:szCs w:val="32"/>
          <w:lang w:eastAsia="zh-CN"/>
        </w:rPr>
        <w:t>年度</w:t>
      </w:r>
      <w:r>
        <w:rPr>
          <w:rFonts w:eastAsia="仿宋_GB2312"/>
          <w:kern w:val="0"/>
          <w:sz w:val="32"/>
          <w:szCs w:val="32"/>
        </w:rPr>
        <w:t>，迪润天津全球营业额为</w:t>
      </w:r>
      <w:r>
        <w:rPr>
          <w:rFonts w:hint="eastAsia" w:ascii="Times New Roman" w:hAnsi="Times New Roman" w:eastAsia="仿宋_GB2312" w:cs="Times New Roman"/>
          <w:kern w:val="2"/>
          <w:sz w:val="32"/>
          <w:szCs w:val="32"/>
          <w:lang w:val="en-US" w:eastAsia="zh-CN" w:bidi="ar-SA"/>
        </w:rPr>
        <w:t>（略）</w:t>
      </w:r>
      <w:r>
        <w:rPr>
          <w:rFonts w:eastAsia="仿宋_GB2312"/>
          <w:kern w:val="0"/>
          <w:sz w:val="32"/>
          <w:szCs w:val="32"/>
        </w:rPr>
        <w:t>，中国境内营业额为</w:t>
      </w:r>
      <w:r>
        <w:rPr>
          <w:rFonts w:hint="eastAsia" w:ascii="Times New Roman" w:hAnsi="Times New Roman" w:eastAsia="仿宋_GB2312" w:cs="Times New Roman"/>
          <w:kern w:val="2"/>
          <w:sz w:val="32"/>
          <w:szCs w:val="32"/>
          <w:lang w:val="en-US" w:eastAsia="zh-CN" w:bidi="ar-SA"/>
        </w:rPr>
        <w:t>（略）</w:t>
      </w:r>
      <w:r>
        <w:rPr>
          <w:rFonts w:eastAsia="仿宋_GB2312"/>
          <w:kern w:val="0"/>
          <w:sz w:val="32"/>
          <w:szCs w:val="32"/>
        </w:rPr>
        <w:t>；联想全球营业额为</w:t>
      </w:r>
      <w:r>
        <w:rPr>
          <w:rFonts w:hint="eastAsia" w:ascii="Times New Roman" w:hAnsi="Times New Roman" w:eastAsia="仿宋_GB2312" w:cs="Times New Roman"/>
          <w:kern w:val="2"/>
          <w:sz w:val="32"/>
          <w:szCs w:val="32"/>
          <w:lang w:val="en-US" w:eastAsia="zh-CN" w:bidi="ar-SA"/>
        </w:rPr>
        <w:t>（略）</w:t>
      </w:r>
      <w:r>
        <w:rPr>
          <w:rFonts w:eastAsia="仿宋_GB2312"/>
          <w:kern w:val="0"/>
          <w:sz w:val="32"/>
          <w:szCs w:val="32"/>
        </w:rPr>
        <w:t>，中国境内营业额为</w:t>
      </w:r>
      <w:r>
        <w:rPr>
          <w:rFonts w:hint="eastAsia" w:ascii="Times New Roman" w:hAnsi="Times New Roman" w:eastAsia="仿宋_GB2312" w:cs="Times New Roman"/>
          <w:kern w:val="2"/>
          <w:sz w:val="32"/>
          <w:szCs w:val="32"/>
          <w:lang w:val="en-US" w:eastAsia="zh-CN" w:bidi="ar-SA"/>
        </w:rPr>
        <w:t>（略）</w:t>
      </w:r>
      <w:r>
        <w:rPr>
          <w:rFonts w:eastAsia="仿宋_GB2312"/>
          <w:kern w:val="0"/>
          <w:sz w:val="32"/>
          <w:szCs w:val="32"/>
        </w:rPr>
        <w:t>，达到《国务院关于经营者集中申报标准的规定》第三条规定的申报标准，属于应当申报的情形。</w:t>
      </w:r>
    </w:p>
    <w:p>
      <w:pPr>
        <w:suppressAutoHyphens/>
        <w:overflowPunct w:val="0"/>
        <w:autoSpaceDE w:val="0"/>
        <w:autoSpaceDN w:val="0"/>
        <w:adjustRightInd w:val="0"/>
        <w:spacing w:line="594" w:lineRule="exact"/>
        <w:ind w:firstLine="628" w:firstLineChars="200"/>
        <w:rPr>
          <w:rFonts w:eastAsia="仿宋_GB2312"/>
          <w:kern w:val="0"/>
          <w:sz w:val="32"/>
          <w:szCs w:val="32"/>
        </w:rPr>
      </w:pPr>
      <w:r>
        <w:rPr>
          <w:rFonts w:eastAsia="仿宋_GB2312"/>
          <w:kern w:val="0"/>
          <w:sz w:val="32"/>
          <w:szCs w:val="32"/>
        </w:rPr>
        <w:t>《反垄断法》第二十一条规定“经营者集中达到国务院规定的申报标准的，经营者应当事先向国务院反垄断执法机构申报，未申报的不得实施集中”。2020年4月13日，完成股权变更登记，在此之前未向我局申报，违反《反垄断法》第二十一条，构成未依法申报违法实施的经营者集中。</w:t>
      </w:r>
    </w:p>
    <w:p>
      <w:pPr>
        <w:suppressAutoHyphens/>
        <w:overflowPunct w:val="0"/>
        <w:autoSpaceDE w:val="0"/>
        <w:autoSpaceDN w:val="0"/>
        <w:adjustRightInd w:val="0"/>
        <w:spacing w:line="594" w:lineRule="exact"/>
        <w:ind w:firstLine="628" w:firstLineChars="200"/>
        <w:rPr>
          <w:rFonts w:eastAsia="楷体_GB2312"/>
          <w:b/>
          <w:bCs/>
          <w:sz w:val="32"/>
          <w:szCs w:val="32"/>
        </w:rPr>
      </w:pPr>
      <w:r>
        <w:rPr>
          <w:rFonts w:eastAsia="楷体_GB2312"/>
          <w:b/>
          <w:bCs/>
          <w:sz w:val="32"/>
          <w:szCs w:val="32"/>
        </w:rPr>
        <w:t>（二）本案不具有排除、限制竞争的效果。</w:t>
      </w:r>
    </w:p>
    <w:p>
      <w:pPr>
        <w:spacing w:line="594" w:lineRule="exact"/>
        <w:ind w:firstLine="628" w:firstLineChars="200"/>
        <w:outlineLvl w:val="0"/>
        <w:rPr>
          <w:rFonts w:eastAsia="仿宋_GB2312"/>
          <w:sz w:val="32"/>
          <w:szCs w:val="32"/>
        </w:rPr>
      </w:pPr>
      <w:r>
        <w:rPr>
          <w:rFonts w:eastAsia="仿宋_GB2312"/>
          <w:sz w:val="32"/>
          <w:szCs w:val="32"/>
        </w:rPr>
        <w:t>本机关就</w:t>
      </w:r>
      <w:r>
        <w:rPr>
          <w:rFonts w:hint="eastAsia" w:eastAsia="仿宋_GB2312"/>
          <w:sz w:val="32"/>
          <w:szCs w:val="22"/>
        </w:rPr>
        <w:t>迪润天津、联想收购现代财险股权</w:t>
      </w:r>
      <w:r>
        <w:rPr>
          <w:rFonts w:eastAsia="仿宋_GB2312"/>
          <w:sz w:val="32"/>
          <w:szCs w:val="32"/>
        </w:rPr>
        <w:t>对市场竞争的影响进行了评估，评估认为，该项经营者集中不会产生排除、限制竞争的效果。</w:t>
      </w:r>
    </w:p>
    <w:p>
      <w:pPr>
        <w:suppressAutoHyphens/>
        <w:overflowPunct w:val="0"/>
        <w:autoSpaceDE w:val="0"/>
        <w:autoSpaceDN w:val="0"/>
        <w:adjustRightInd w:val="0"/>
        <w:spacing w:line="594" w:lineRule="exact"/>
        <w:ind w:firstLine="628" w:firstLineChars="200"/>
        <w:rPr>
          <w:rFonts w:eastAsia="黑体"/>
          <w:sz w:val="32"/>
          <w:szCs w:val="32"/>
        </w:rPr>
      </w:pPr>
      <w:r>
        <w:rPr>
          <w:rFonts w:eastAsia="黑体"/>
          <w:sz w:val="32"/>
          <w:szCs w:val="32"/>
        </w:rPr>
        <w:t>三、行政处罚依据和决定</w:t>
      </w:r>
    </w:p>
    <w:p>
      <w:pPr>
        <w:spacing w:line="594" w:lineRule="exact"/>
        <w:ind w:firstLine="616" w:firstLineChars="196"/>
        <w:rPr>
          <w:rFonts w:eastAsia="仿宋_GB2312"/>
          <w:bCs/>
          <w:color w:val="000000"/>
          <w:sz w:val="32"/>
          <w:szCs w:val="32"/>
        </w:rPr>
      </w:pPr>
      <w:r>
        <w:rPr>
          <w:rFonts w:eastAsia="仿宋_GB2312"/>
          <w:bCs/>
          <w:color w:val="000000"/>
          <w:sz w:val="32"/>
          <w:szCs w:val="32"/>
        </w:rPr>
        <w:t>《反垄断法》第四十八条规定“经营者违反本法规定实施集中的，由国务院反垄断执法机构责令停止实施集中、限期处分股份或者资产、限期转让营业以及采取其他必要措施恢复到集中前的状态，可以处五十万元以下的罚款”。《反垄断法》第四十九条规定“对本法第四十六条、第四十七条、第四十八条规定的罚款，反垄断执法机构确定具体罚款数额时，应当考虑违法行为的性质、程度和持续的时间等因素”。</w:t>
      </w:r>
    </w:p>
    <w:p>
      <w:pPr>
        <w:suppressAutoHyphens/>
        <w:overflowPunct w:val="0"/>
        <w:autoSpaceDE w:val="0"/>
        <w:autoSpaceDN w:val="0"/>
        <w:adjustRightInd w:val="0"/>
        <w:spacing w:line="594" w:lineRule="exact"/>
        <w:ind w:firstLine="628" w:firstLineChars="200"/>
        <w:rPr>
          <w:rFonts w:eastAsia="仿宋_GB2312"/>
          <w:bCs/>
          <w:color w:val="000000"/>
          <w:sz w:val="32"/>
          <w:szCs w:val="32"/>
        </w:rPr>
      </w:pPr>
      <w:r>
        <w:rPr>
          <w:rFonts w:eastAsia="仿宋_GB2312"/>
          <w:bCs/>
          <w:color w:val="000000"/>
          <w:sz w:val="32"/>
          <w:szCs w:val="32"/>
        </w:rPr>
        <w:t>根据上述规定，基于调查情况和评估结论，本机关</w:t>
      </w:r>
      <w:r>
        <w:rPr>
          <w:rFonts w:hint="eastAsia" w:eastAsia="仿宋_GB2312"/>
          <w:bCs/>
          <w:color w:val="000000"/>
          <w:sz w:val="32"/>
          <w:szCs w:val="32"/>
        </w:rPr>
        <w:t>决定分别给予迪润天津、联想50万元罚款的行政处罚。</w:t>
      </w:r>
    </w:p>
    <w:p>
      <w:pPr>
        <w:suppressAutoHyphens/>
        <w:overflowPunct w:val="0"/>
        <w:autoSpaceDE w:val="0"/>
        <w:autoSpaceDN w:val="0"/>
        <w:adjustRightInd w:val="0"/>
        <w:spacing w:line="594" w:lineRule="exact"/>
        <w:ind w:firstLine="628" w:firstLineChars="200"/>
        <w:rPr>
          <w:rFonts w:eastAsia="仿宋_GB2312"/>
          <w:bCs/>
          <w:color w:val="000000"/>
          <w:sz w:val="32"/>
          <w:szCs w:val="32"/>
        </w:rPr>
      </w:pPr>
      <w:r>
        <w:rPr>
          <w:rFonts w:eastAsia="仿宋_GB2312"/>
          <w:bCs/>
          <w:color w:val="000000"/>
          <w:sz w:val="32"/>
          <w:szCs w:val="32"/>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suppressAutoHyphens/>
        <w:overflowPunct w:val="0"/>
        <w:autoSpaceDE w:val="0"/>
        <w:autoSpaceDN w:val="0"/>
        <w:adjustRightInd w:val="0"/>
        <w:spacing w:line="594" w:lineRule="exact"/>
        <w:ind w:firstLine="628" w:firstLineChars="200"/>
        <w:rPr>
          <w:rFonts w:eastAsia="仿宋_GB2312"/>
          <w:bCs/>
          <w:color w:val="000000"/>
          <w:sz w:val="32"/>
          <w:szCs w:val="32"/>
          <w:highlight w:val="yellow"/>
        </w:rPr>
      </w:pPr>
      <w:r>
        <w:rPr>
          <w:rFonts w:eastAsia="仿宋_GB2312"/>
          <w:bCs/>
          <w:color w:val="000000"/>
          <w:sz w:val="32"/>
          <w:szCs w:val="32"/>
        </w:rPr>
        <w:t>当事人应当自收到本行政处罚决定书之日起十五日内，携缴款码到15家中央财政非税收入收缴代理银行（工、农、中、建、交、中信、光大、招商、邮储、华夏、平安、兴业、民生、广发、浙商）任一银行网点、网上银行缴纳罚款。</w:t>
      </w:r>
      <w:r>
        <w:rPr>
          <w:rFonts w:hint="eastAsia" w:eastAsia="仿宋_GB2312"/>
          <w:bCs/>
          <w:sz w:val="32"/>
          <w:szCs w:val="32"/>
        </w:rPr>
        <w:t>迪</w:t>
      </w:r>
      <w:r>
        <w:rPr>
          <w:rFonts w:hint="eastAsia" w:eastAsia="仿宋_GB2312"/>
          <w:sz w:val="32"/>
        </w:rPr>
        <w:t>润天津</w:t>
      </w:r>
      <w:r>
        <w:rPr>
          <w:rFonts w:eastAsia="仿宋_GB2312"/>
          <w:bCs/>
          <w:color w:val="000000"/>
          <w:sz w:val="32"/>
          <w:szCs w:val="32"/>
        </w:rPr>
        <w:t>缴款码</w:t>
      </w:r>
      <w:r>
        <w:rPr>
          <w:rFonts w:hint="eastAsia" w:eastAsia="仿宋_GB2312"/>
          <w:bCs/>
          <w:color w:val="000000"/>
          <w:sz w:val="32"/>
          <w:szCs w:val="32"/>
        </w:rPr>
        <w:t>：</w:t>
      </w:r>
      <w:r>
        <w:rPr>
          <w:rFonts w:hint="eastAsia" w:eastAsia="仿宋_GB2312"/>
          <w:bCs/>
          <w:color w:val="000000"/>
          <w:sz w:val="32"/>
          <w:szCs w:val="32"/>
          <w:lang w:eastAsia="zh-CN"/>
        </w:rPr>
        <w:t>（略）</w:t>
      </w:r>
      <w:r>
        <w:rPr>
          <w:rFonts w:hint="eastAsia" w:eastAsia="仿宋_GB2312"/>
          <w:bCs/>
          <w:color w:val="000000"/>
          <w:sz w:val="32"/>
          <w:szCs w:val="32"/>
        </w:rPr>
        <w:t>。</w:t>
      </w:r>
      <w:r>
        <w:rPr>
          <w:rFonts w:hint="eastAsia" w:eastAsia="仿宋_GB2312"/>
          <w:sz w:val="32"/>
          <w:szCs w:val="22"/>
        </w:rPr>
        <w:t>联想</w:t>
      </w:r>
      <w:r>
        <w:rPr>
          <w:rFonts w:eastAsia="仿宋_GB2312"/>
          <w:bCs/>
          <w:color w:val="000000"/>
          <w:sz w:val="32"/>
          <w:szCs w:val="32"/>
        </w:rPr>
        <w:t>缴款码：</w:t>
      </w:r>
      <w:r>
        <w:rPr>
          <w:rFonts w:hint="eastAsia" w:eastAsia="仿宋_GB2312"/>
          <w:bCs/>
          <w:color w:val="000000"/>
          <w:sz w:val="32"/>
          <w:szCs w:val="32"/>
          <w:lang w:eastAsia="zh-CN"/>
        </w:rPr>
        <w:t>（略）</w:t>
      </w:r>
      <w:r>
        <w:rPr>
          <w:rFonts w:hint="eastAsia" w:eastAsia="仿宋_GB2312"/>
          <w:bCs/>
          <w:color w:val="000000"/>
          <w:sz w:val="32"/>
          <w:szCs w:val="32"/>
        </w:rPr>
        <w:t>。到期不缴纳罚款的，依据《行政处罚法》第七十二条的规定，本机关将每日按罚款数额的百分之三加处罚款,并依法申请人民法院强制执行。</w:t>
      </w:r>
    </w:p>
    <w:p>
      <w:pPr>
        <w:suppressAutoHyphens/>
        <w:overflowPunct w:val="0"/>
        <w:autoSpaceDE w:val="0"/>
        <w:autoSpaceDN w:val="0"/>
        <w:adjustRightInd w:val="0"/>
        <w:spacing w:line="594" w:lineRule="exact"/>
        <w:ind w:firstLine="628" w:firstLineChars="200"/>
        <w:rPr>
          <w:rFonts w:eastAsia="仿宋_GB2312"/>
          <w:bCs/>
          <w:color w:val="000000"/>
          <w:sz w:val="32"/>
          <w:szCs w:val="32"/>
        </w:rPr>
      </w:pPr>
      <w:r>
        <w:rPr>
          <w:rFonts w:eastAsia="仿宋_GB2312"/>
          <w:bCs/>
          <w:color w:val="000000"/>
          <w:sz w:val="32"/>
          <w:szCs w:val="32"/>
        </w:rPr>
        <w:t xml:space="preserve">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snapToGrid w:val="0"/>
        <w:spacing w:line="594" w:lineRule="exact"/>
        <w:ind w:firstLine="5433" w:firstLineChars="1730"/>
        <w:rPr>
          <w:rFonts w:eastAsia="仿宋_GB2312"/>
          <w:sz w:val="32"/>
          <w:szCs w:val="32"/>
        </w:rPr>
      </w:pPr>
      <w:r>
        <w:rPr>
          <w:rFonts w:eastAsia="仿宋_GB2312"/>
          <w:sz w:val="32"/>
          <w:szCs w:val="32"/>
        </w:rPr>
        <w:t>市场监管总局</w:t>
      </w:r>
    </w:p>
    <w:p>
      <w:pPr>
        <w:snapToGrid w:val="0"/>
        <w:spacing w:line="594" w:lineRule="exact"/>
        <w:ind w:firstLine="5225" w:firstLineChars="1664"/>
        <w:rPr>
          <w:rFonts w:eastAsia="仿宋_GB2312"/>
          <w:sz w:val="32"/>
          <w:szCs w:val="32"/>
        </w:rPr>
      </w:pPr>
      <w:r>
        <w:rPr>
          <w:rFonts w:eastAsia="仿宋_GB2312"/>
          <w:sz w:val="32"/>
          <w:szCs w:val="32"/>
        </w:rPr>
        <w:t>202</w:t>
      </w:r>
      <w:r>
        <w:rPr>
          <w:rFonts w:hint="eastAsia" w:eastAsia="仿宋_GB2312"/>
          <w:sz w:val="32"/>
          <w:szCs w:val="32"/>
        </w:rPr>
        <w:t>2</w:t>
      </w:r>
      <w:r>
        <w:rPr>
          <w:rFonts w:eastAsia="仿宋_GB2312"/>
          <w:sz w:val="32"/>
          <w:szCs w:val="32"/>
        </w:rPr>
        <w:t>年</w:t>
      </w:r>
      <w:r>
        <w:rPr>
          <w:rFonts w:hint="eastAsia" w:eastAsia="仿宋_GB2312"/>
          <w:sz w:val="32"/>
          <w:szCs w:val="32"/>
        </w:rPr>
        <w:t>5</w:t>
      </w:r>
      <w:r>
        <w:rPr>
          <w:rFonts w:eastAsia="仿宋_GB2312"/>
          <w:sz w:val="32"/>
          <w:szCs w:val="32"/>
        </w:rPr>
        <w:t>月</w:t>
      </w:r>
      <w:r>
        <w:rPr>
          <w:rFonts w:hint="eastAsia" w:eastAsia="仿宋_GB2312"/>
          <w:sz w:val="32"/>
          <w:szCs w:val="32"/>
          <w:lang w:val="en-US" w:eastAsia="zh-CN"/>
        </w:rPr>
        <w:t>13</w:t>
      </w:r>
      <w:r>
        <w:rPr>
          <w:rFonts w:eastAsia="仿宋_GB2312"/>
          <w:sz w:val="32"/>
          <w:szCs w:val="32"/>
        </w:rPr>
        <w:t>日</w:t>
      </w:r>
    </w:p>
    <w:p>
      <w:pPr>
        <w:keepNext w:val="0"/>
        <w:keepLines w:val="0"/>
        <w:pageBreakBefore w:val="0"/>
        <w:widowControl w:val="0"/>
        <w:kinsoku/>
        <w:wordWrap/>
        <w:topLinePunct w:val="0"/>
        <w:bidi w:val="0"/>
        <w:spacing w:line="580" w:lineRule="exact"/>
        <w:ind w:firstLine="628" w:firstLineChars="200"/>
        <w:textAlignment w:val="auto"/>
        <w:rPr>
          <w:rFonts w:ascii="Times New Roman" w:hAnsi="Times New Roman" w:eastAsia="宋体" w:cs="Times New Roman"/>
        </w:rPr>
      </w:pPr>
      <w:r>
        <w:rPr>
          <w:rFonts w:hint="eastAsia" w:ascii="Times New Roman" w:hAnsi="Times New Roman" w:eastAsia="仿宋_GB2312" w:cs="Times New Roman"/>
          <w:kern w:val="2"/>
          <w:sz w:val="32"/>
          <w:szCs w:val="32"/>
        </w:rPr>
        <w:t>（此件公开发布）</w:t>
      </w:r>
    </w:p>
    <w:p>
      <w:pPr>
        <w:spacing w:line="594" w:lineRule="exact"/>
      </w:pPr>
    </w:p>
    <w:sectPr>
      <w:headerReference r:id="rId3" w:type="default"/>
      <w:footerReference r:id="rId4" w:type="default"/>
      <w:footerReference r:id="rId5" w:type="even"/>
      <w:pgSz w:w="11906" w:h="16838"/>
      <w:pgMar w:top="1898" w:right="1474" w:bottom="1985" w:left="1474" w:header="851" w:footer="1814" w:gutter="0"/>
      <w:pgNumType w:fmt="decimal"/>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bookmarkStart w:id="6" w:name="_GoBack"/>
    <w:bookmarkEnd w:id="6"/>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66F"/>
    <w:rsid w:val="00212F6C"/>
    <w:rsid w:val="002F2AFF"/>
    <w:rsid w:val="006701DF"/>
    <w:rsid w:val="00B3466F"/>
    <w:rsid w:val="00D66991"/>
    <w:rsid w:val="238405CE"/>
    <w:rsid w:val="251F784E"/>
    <w:rsid w:val="27721479"/>
    <w:rsid w:val="331B0238"/>
    <w:rsid w:val="3D973AFE"/>
    <w:rsid w:val="3FDF4C46"/>
    <w:rsid w:val="46FFD147"/>
    <w:rsid w:val="477829E6"/>
    <w:rsid w:val="49337785"/>
    <w:rsid w:val="50F656A6"/>
    <w:rsid w:val="52820D71"/>
    <w:rsid w:val="552762F9"/>
    <w:rsid w:val="55EA05CE"/>
    <w:rsid w:val="611E177A"/>
    <w:rsid w:val="6EC37903"/>
    <w:rsid w:val="76015E5A"/>
    <w:rsid w:val="77FDD76C"/>
    <w:rsid w:val="7C3B02FB"/>
    <w:rsid w:val="7F3A7651"/>
    <w:rsid w:val="7F5BB949"/>
    <w:rsid w:val="7FEA4C97"/>
    <w:rsid w:val="9FDFB949"/>
    <w:rsid w:val="AA3FE100"/>
    <w:rsid w:val="CB9E7B46"/>
    <w:rsid w:val="CEFF4B21"/>
    <w:rsid w:val="D4DE0E49"/>
    <w:rsid w:val="DF924AFA"/>
    <w:rsid w:val="DFFFD625"/>
    <w:rsid w:val="F97D4AB7"/>
    <w:rsid w:val="FDFF20E9"/>
    <w:rsid w:val="FFFDFDC0"/>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0">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2160</Words>
  <Characters>208</Characters>
  <Lines>1</Lines>
  <Paragraphs>4</Paragraphs>
  <TotalTime>3</TotalTime>
  <ScaleCrop>false</ScaleCrop>
  <LinksUpToDate>false</LinksUpToDate>
  <CharactersWithSpaces>2364</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2022-05-18T09:57:00Z</dcterms:created>
  <dc:creator>xielin</dc:creator>
  <cp:lastModifiedBy>张砚哲</cp:lastModifiedBy>
  <cp:lastPrinted>2022-07-08T16:58:28Z</cp:lastPrinted>
  <dcterms:modified xsi:type="dcterms:W3CDTF">2022-07-08T17:13:44Z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