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jc w:val="center"/>
        <w:textAlignment w:val="auto"/>
        <w:rPr>
          <w:rFonts w:hint="default" w:ascii="Times New Roman" w:hAnsi="Times New Roman" w:eastAsia="黑体" w:cs="Times New Roman"/>
          <w:bCs/>
          <w:color w:val="000000"/>
          <w:kern w:val="2"/>
          <w:sz w:val="52"/>
          <w:szCs w:val="52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30"/>
          <w:kern w:val="0"/>
          <w:sz w:val="52"/>
          <w:szCs w:val="52"/>
          <w:fitText w:val="5742" w:id="1450529788"/>
        </w:rPr>
        <w:t>国家市场监督管理总</w:t>
      </w:r>
      <w:r>
        <w:rPr>
          <w:rFonts w:hint="default" w:ascii="Times New Roman" w:hAnsi="Times New Roman" w:eastAsia="黑体" w:cs="Times New Roman"/>
          <w:bCs/>
          <w:color w:val="000000"/>
          <w:spacing w:val="1"/>
          <w:kern w:val="0"/>
          <w:sz w:val="52"/>
          <w:szCs w:val="52"/>
          <w:fitText w:val="5742" w:id="1450529788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44"/>
          <w:szCs w:val="44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175"/>
          <w:kern w:val="0"/>
          <w:sz w:val="52"/>
          <w:szCs w:val="52"/>
          <w:fitText w:val="5742" w:id="1"/>
        </w:rPr>
        <w:t>行政处罚决定</w:t>
      </w:r>
      <w:r>
        <w:rPr>
          <w:rFonts w:hint="default" w:ascii="Times New Roman" w:hAnsi="Times New Roman" w:eastAsia="黑体" w:cs="Times New Roman"/>
          <w:bCs/>
          <w:color w:val="000000"/>
          <w:spacing w:val="1"/>
          <w:kern w:val="0"/>
          <w:sz w:val="52"/>
          <w:szCs w:val="52"/>
          <w:fitText w:val="5742" w:id="1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jc w:val="center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国市监处</w:t>
      </w:r>
      <w:r>
        <w:rPr>
          <w:rFonts w:hint="eastAsia" w:eastAsia="仿宋_GB2312" w:cs="Times New Roman"/>
          <w:kern w:val="2"/>
          <w:sz w:val="32"/>
          <w:szCs w:val="32"/>
          <w:lang w:eastAsia="zh-CN"/>
        </w:rPr>
        <w:t>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〔202</w:t>
      </w:r>
      <w:r>
        <w:rPr>
          <w:rFonts w:hint="eastAsia" w:eastAsia="仿宋_GB2312" w:cs="Times New Roman"/>
          <w:kern w:val="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〕</w:t>
      </w:r>
      <w:r>
        <w:rPr>
          <w:rFonts w:hint="eastAsia" w:eastAsia="仿宋_GB2312" w:cs="Times New Roman"/>
          <w:kern w:val="2"/>
          <w:sz w:val="32"/>
          <w:szCs w:val="32"/>
          <w:lang w:val="en-US" w:eastAsia="zh-CN"/>
        </w:rPr>
        <w:t>32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jc w:val="center"/>
        <w:textAlignment w:val="auto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left="0" w:leftChars="0" w:firstLine="619" w:firstLineChars="197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当事人：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上海幻电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信息科技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left="0" w:leftChars="0" w:firstLine="619" w:firstLineChars="197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住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所：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上海市张江高科技园祖冲之路2277弄1号905、906室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28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根据《中华人民共和国反垄断法》（以下简称《反垄断法》）《经营者集中审查暂行规定》，本机关于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2021年9月3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上海幻电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信息科技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有限公司（以下简称上海幻电）收购上海福煦影视文化投资有限公司（以下简称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福煦影视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股权</w:t>
      </w:r>
      <w:r>
        <w:rPr>
          <w:rFonts w:hint="default" w:ascii="Times New Roman" w:hAnsi="Times New Roman" w:eastAsia="仿宋_GB2312" w:cs="Times New Roman"/>
          <w:sz w:val="32"/>
        </w:rPr>
        <w:t>涉嫌</w:t>
      </w:r>
      <w:r>
        <w:rPr>
          <w:rFonts w:hint="eastAsia" w:eastAsia="仿宋_GB2312" w:cs="Times New Roman"/>
          <w:color w:val="auto"/>
          <w:sz w:val="32"/>
          <w:lang w:val="en-US" w:eastAsia="zh-CN"/>
        </w:rPr>
        <w:t>未依法申报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违法实施经营者集中案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进行立案调查。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经查，该案构成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eastAsia="zh-CN"/>
        </w:rPr>
        <w:t>未依法申报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违法实施经营者集中，但不具有排除、限制竞争的效果。本机关按照《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中华人民共和国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行政处罚法》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（以下简称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《行政处罚法》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的规定，向</w:t>
      </w:r>
      <w:r>
        <w:rPr>
          <w:rFonts w:hint="eastAsia" w:eastAsia="仿宋_GB2312" w:cs="Times New Roman"/>
          <w:sz w:val="32"/>
          <w:lang w:val="en-US" w:eastAsia="zh-CN"/>
        </w:rPr>
        <w:t>上海幻电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送达了《行政处罚告知书》，告知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eastAsia="zh-CN"/>
        </w:rPr>
        <w:t>当事人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拟作出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行政处罚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eastAsia="zh-CN"/>
        </w:rPr>
        <w:t>内容及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事实、理由、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eastAsia="zh-CN"/>
        </w:rPr>
        <w:t>依据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，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eastAsia="zh-CN"/>
        </w:rPr>
        <w:t>并告知当事人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依法享有的陈述、申辩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要求听证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权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eastAsia="zh-CN"/>
        </w:rPr>
        <w:t>利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。</w:t>
      </w:r>
      <w:r>
        <w:rPr>
          <w:rFonts w:hint="eastAsia" w:eastAsia="仿宋_GB2312" w:cs="Times New Roman"/>
          <w:sz w:val="32"/>
          <w:lang w:val="en-US" w:eastAsia="zh-CN"/>
        </w:rPr>
        <w:t>上海幻电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在规定期限内没有提出陈述、申辩意见或要求举行听证。本案现已调查、审理终结。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628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628" w:firstLineChars="200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</w:rPr>
        <w:t>（一）交易方。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收购方：</w:t>
      </w:r>
      <w:r>
        <w:rPr>
          <w:rFonts w:hint="eastAsia" w:ascii="Times New Roman" w:hAnsi="Times New Roman" w:cs="Times New Roman"/>
          <w:b/>
          <w:bCs/>
          <w:sz w:val="32"/>
          <w:szCs w:val="32"/>
          <w:lang w:eastAsia="zh-CN"/>
        </w:rPr>
        <w:t>上海幻电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2013年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上海市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注册成立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，最终控制人为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哔哩哔哩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股份有限公司（Bilibili Inc.，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以下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简称“哔哩哔哩”）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。哔哩哔哩于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2018年3月在美国纳斯达克交易所上市，2021年3月在香港交易所上市，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通过关联实体基于协议安排控制上海幻电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主要从事网络视频平台服务业务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年全球营业额为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（略）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人民币（币种下同），中国境内营业额为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（略）</w:t>
      </w:r>
      <w:r>
        <w:rPr>
          <w:rFonts w:hint="default" w:ascii="Times New Roman" w:hAnsi="Times New Roman" w:cs="Times New Roma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被收购方：</w:t>
      </w:r>
      <w:r>
        <w:rPr>
          <w:rFonts w:hint="eastAsia" w:eastAsia="仿宋_GB2312" w:cs="Times New Roman"/>
          <w:b/>
          <w:bCs/>
          <w:sz w:val="32"/>
          <w:szCs w:val="32"/>
          <w:lang w:eastAsia="zh-CN"/>
        </w:rPr>
        <w:t>福煦影视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于中国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上海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注册成立，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上海福启企业管理咨询有限公司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（以下称上海福启）、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上海阅文信息技术有限公司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（以下称上海阅文）和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孚惠成长（天津）资产管理中心（有限合伙）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（以下称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孚惠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成长）共同控制，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主要从事影视动画创作与拍摄等相关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业务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。201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年全球和中国境内营业额均为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略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pStyle w:val="2"/>
        <w:spacing w:line="594" w:lineRule="exact"/>
        <w:ind w:firstLine="628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其他参与集中的经营者：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上海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阅文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2014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4月于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上海市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注册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成立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，为阅文集团（China Literature Limited）通过协议控制的境内运营实体，最终控制人为腾讯控股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有限公司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。上海阅文主要业务为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非学术图书类网络出版物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阅读服务、版权商业化等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年全球营业额为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略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，中国境内营业额为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略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628" w:firstLineChars="200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</w:rPr>
        <w:t>（二）交易概况。</w:t>
      </w:r>
    </w:p>
    <w:p>
      <w:pPr>
        <w:pStyle w:val="9"/>
        <w:spacing w:line="240" w:lineRule="auto"/>
        <w:ind w:firstLine="640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交易系股权收购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2018年8月1日，上海幻电与福煦影视、阅文等签署《增资协议》及《股东协议》，交易后持有福煦影视8%的股权，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并取得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共同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制权。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2018年12月28日，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本次交易完成股权变更登记手续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628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二、违法事实及理由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594" w:lineRule="exact"/>
        <w:ind w:left="0" w:firstLine="628" w:firstLineChars="200"/>
        <w:jc w:val="both"/>
        <w:textAlignment w:val="auto"/>
        <w:outlineLvl w:val="0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（一）本案构成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未依法申报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违法实施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的经营者集中。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《反垄断法》第二十条规定“经营者集中是指下列情形：（一）经营者合并；（二）经营者通过取得股权或者资产的方式取得对其他经营者的控制权；（三）经营者通过合同等方式取得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对其他经营者的控制权或者能够对其他经营者施加决定性影响”。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018年，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上海幻电取得福煦影视8%的股权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并获得共同控制权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Cs/>
          <w:sz w:val="32"/>
          <w:szCs w:val="36"/>
          <w:lang w:eastAsia="zh-CN"/>
        </w:rPr>
        <w:t>属于《反垄断法》第二十条规定的经营者集中。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pacing w:line="594" w:lineRule="exact"/>
        <w:ind w:left="0" w:firstLine="643"/>
        <w:textAlignment w:val="auto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，上海幻电的全球营业额为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（略）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，中国境内营业额为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（略）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；其他参与集中的经营者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上海阅文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全球营业额为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（略）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，中国境内营业额为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（略）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u w:val="none"/>
          <w:lang w:val="en-US" w:eastAsia="zh-CN" w:bidi="ar-SA"/>
        </w:rPr>
        <w:t>达到《国务院关于经营者集中申报标准的规定》第三条规定的申报标准，属于应当申报的情形。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firstLine="616" w:firstLineChars="196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《反垄断法》第二十一条规定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营者集中达到国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u w:val="none"/>
          <w:lang w:val="en-US" w:eastAsia="zh-CN" w:bidi="ar-SA"/>
        </w:rPr>
        <w:t>务院规定的申报标准的，经营者应当事先向国务院反垄断执法机构申报，未申报的不得实施集中”。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2018年12月28日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，</w:t>
      </w:r>
      <w:r>
        <w:rPr>
          <w:rFonts w:hint="eastAsia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上述交易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完成股权变更登记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eastAsia="仿宋_GB2312" w:cs="Times New Roman"/>
          <w:bCs/>
          <w:kern w:val="2"/>
          <w:sz w:val="32"/>
          <w:szCs w:val="32"/>
          <w:lang w:val="en-US" w:eastAsia="zh-CN" w:bidi="ar-SA"/>
        </w:rPr>
        <w:t>在此之前未依法申报，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违反《反垄断法》第二十一条，构成未依法申报违法实施的经营者集中。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628" w:firstLineChars="200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</w:rPr>
        <w:t>（二）本案不具有排除、限制竞争的效果。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firstLine="628" w:firstLineChars="200"/>
        <w:textAlignment w:val="auto"/>
        <w:outlineLvl w:val="0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本机关就</w:t>
      </w:r>
      <w:r>
        <w:rPr>
          <w:rFonts w:hint="eastAsia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上海幻电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收购</w:t>
      </w:r>
      <w:r>
        <w:rPr>
          <w:rFonts w:hint="eastAsia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福煦影视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股权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对市场竞争的影响进行了评估，评估认为该项经营者集中不会产生排除、限制竞争的效果。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628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三、行政处罚依据和决定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firstLine="616" w:firstLineChars="196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《反垄断法》第四十八条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eastAsia="zh-CN"/>
        </w:rPr>
        <w:t>规定“经营者违反本法规定实施集中的，由国务院反垄断执法机构责令停止实施集中、限期处分股份或者资产、限期转让营业以及采取其他必要措施恢复到集中前的状态，可以处五十万元以下的罚款”。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《反垄断法》第四十九条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eastAsia="zh-CN"/>
        </w:rPr>
        <w:t>规定“对本法第四十六条、第四十七条、第四十八条规定的罚款，反垄断执法机构确定具体罚款数额时，应当考虑违法行为的性质、程度和持续的时间等因素”。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eastAsia="zh-CN"/>
        </w:rPr>
        <w:t>上述规定，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基于调查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eastAsia="zh-CN"/>
        </w:rPr>
        <w:t>情况和评估结论，本机关</w:t>
      </w:r>
      <w:r>
        <w:rPr>
          <w:rFonts w:hint="eastAsia" w:eastAsia="仿宋_GB2312" w:cs="Times New Roman"/>
          <w:bCs/>
          <w:color w:val="000000"/>
          <w:kern w:val="2"/>
          <w:sz w:val="32"/>
          <w:szCs w:val="32"/>
          <w:lang w:eastAsia="zh-CN"/>
        </w:rPr>
        <w:t>现决定对</w:t>
      </w:r>
      <w:r>
        <w:rPr>
          <w:rFonts w:hint="eastAsia" w:eastAsia="仿宋_GB2312" w:cs="Times New Roman"/>
          <w:bCs/>
          <w:color w:val="000000"/>
          <w:kern w:val="2"/>
          <w:sz w:val="32"/>
          <w:szCs w:val="32"/>
          <w:lang w:val="en-US" w:eastAsia="zh-CN"/>
        </w:rPr>
        <w:t>上海幻电处以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eastAsia="zh-CN"/>
        </w:rPr>
        <w:t>罚款</w:t>
      </w:r>
      <w:r>
        <w:rPr>
          <w:rFonts w:hint="eastAsia" w:eastAsia="仿宋_GB2312" w:cs="Times New Roman"/>
          <w:bCs/>
          <w:color w:val="000000"/>
          <w:kern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eastAsia="zh-CN"/>
        </w:rPr>
        <w:t>0万元的行政处罚。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eastAsia="zh-CN"/>
        </w:rPr>
        <w:t>《行政处罚法》第六十七条规定“作出罚款决定的行政机关应当与收缴罚款的机构分离。除依照本法第六十八条、第六十九条的规定当场收缴的罚款外，作出行政处罚决定的行政机关及其执法人员不得自行收缴罚款。当事人应当自收到行政处罚决定书之日起十五日内，到指定的银行或者通过电子支付系统缴纳罚款。银行应当收受罚款，并将罚款直接上缴国库”。　</w:t>
      </w:r>
    </w:p>
    <w:p>
      <w:pPr>
        <w:suppressAutoHyphens/>
        <w:overflowPunct w:val="0"/>
        <w:autoSpaceDE w:val="0"/>
        <w:autoSpaceDN w:val="0"/>
        <w:adjustRightInd w:val="0"/>
        <w:spacing w:line="594" w:lineRule="exact"/>
        <w:ind w:firstLine="628" w:firstLineChars="200"/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yellow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eastAsia="zh-CN"/>
        </w:rPr>
        <w:t>当事人应当自收到本行政处罚决定书之日起十五日内，携缴款码到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/>
        </w:rPr>
        <w:t>15家中央财政非税收入收缴代理银行（工、农、中、建、交、中信、光大、招商、邮储、华夏、平安、兴业、民生、广发、浙商）任一银行网点、网上银行缴纳罚款。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eastAsia="zh-CN"/>
        </w:rPr>
        <w:t>缴款码：</w:t>
      </w:r>
      <w:r>
        <w:rPr>
          <w:rFonts w:hint="eastAsia" w:eastAsia="仿宋_GB2312" w:cs="Times New Roman"/>
          <w:bCs/>
          <w:color w:val="000000"/>
          <w:kern w:val="2"/>
          <w:sz w:val="32"/>
          <w:szCs w:val="32"/>
          <w:lang w:val="en-US" w:eastAsia="zh-CN"/>
        </w:rPr>
        <w:t>（略）。</w:t>
      </w:r>
      <w:r>
        <w:rPr>
          <w:rFonts w:hint="eastAsia" w:eastAsia="仿宋_GB2312"/>
          <w:bCs/>
          <w:color w:val="000000"/>
          <w:sz w:val="32"/>
          <w:szCs w:val="32"/>
        </w:rPr>
        <w:t>到期不缴纳罚款的，依据《行政处罚法》第七十二条的规定，本机关将每日按罚款数额的百分之三加处罚款,并依法申请人民法院强制执行。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eastAsia="zh-CN"/>
        </w:rPr>
        <w:t xml:space="preserve">当事人如对上述行政处罚决定不服，可以自收到本行政处罚决定书之日起六十日内，向国家市场监督管理总局申请行政复议；或者自收到本行政处罚决定书之日起六个月内，依法向人民法院提起行政诉讼。行政复议或者行政诉讼期间，本行政处罚决定不停止执行。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 w:val="0"/>
        <w:spacing w:line="594" w:lineRule="exact"/>
        <w:ind w:firstLine="5433" w:firstLineChars="173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市场监管总局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 w:val="0"/>
        <w:spacing w:line="594" w:lineRule="exact"/>
        <w:ind w:firstLine="5225" w:firstLineChars="1664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202</w:t>
      </w:r>
      <w:r>
        <w:rPr>
          <w:rFonts w:hint="eastAsia" w:eastAsia="仿宋_GB2312" w:cs="Times New Roman"/>
          <w:kern w:val="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年</w:t>
      </w:r>
      <w:r>
        <w:rPr>
          <w:rFonts w:hint="eastAsia" w:eastAsia="仿宋_GB2312" w:cs="Times New Roman"/>
          <w:kern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月</w:t>
      </w:r>
      <w:r>
        <w:rPr>
          <w:rFonts w:hint="eastAsia" w:eastAsia="仿宋_GB2312" w:cs="Times New Roman"/>
          <w:kern w:val="2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firstLine="628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（此件公开发布）</w:t>
      </w:r>
    </w:p>
    <w:p>
      <w:pPr>
        <w:pStyle w:val="3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firstLine="408" w:firstLineChars="200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footerReference r:id="rId4" w:type="even"/>
      <w:pgSz w:w="11906" w:h="16838"/>
      <w:pgMar w:top="1898" w:right="1474" w:bottom="1985" w:left="1474" w:header="851" w:footer="1814" w:gutter="0"/>
      <w:cols w:space="720" w:num="1"/>
      <w:docGrid w:type="linesAndChars" w:linePitch="289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315" w:leftChars="150" w:right="315" w:rightChars="150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66991"/>
    <w:rsid w:val="024F5AB2"/>
    <w:rsid w:val="0A8A1BC5"/>
    <w:rsid w:val="19C71D57"/>
    <w:rsid w:val="238405CE"/>
    <w:rsid w:val="251F784E"/>
    <w:rsid w:val="27721479"/>
    <w:rsid w:val="2DE82422"/>
    <w:rsid w:val="320A72EE"/>
    <w:rsid w:val="32ED5A26"/>
    <w:rsid w:val="331B0238"/>
    <w:rsid w:val="340C5368"/>
    <w:rsid w:val="3CB33C6A"/>
    <w:rsid w:val="3D973AFE"/>
    <w:rsid w:val="3E267633"/>
    <w:rsid w:val="477829E6"/>
    <w:rsid w:val="49337785"/>
    <w:rsid w:val="4C2E0112"/>
    <w:rsid w:val="50F656A6"/>
    <w:rsid w:val="52820D71"/>
    <w:rsid w:val="549C0D8B"/>
    <w:rsid w:val="552762F9"/>
    <w:rsid w:val="60CC71BE"/>
    <w:rsid w:val="611E177A"/>
    <w:rsid w:val="634F39C4"/>
    <w:rsid w:val="6EC37903"/>
    <w:rsid w:val="76015E5A"/>
    <w:rsid w:val="7A3A63C9"/>
    <w:rsid w:val="7F3A7651"/>
    <w:rsid w:val="D3EF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rFonts w:ascii="Calibri" w:hAnsi="Calibri" w:eastAsia="宋体" w:cs="Times New Roman"/>
      <w:szCs w:val="22"/>
    </w:rPr>
  </w:style>
  <w:style w:type="paragraph" w:styleId="3">
    <w:name w:val="Normal Indent"/>
    <w:basedOn w:val="1"/>
    <w:qFormat/>
    <w:uiPriority w:val="0"/>
    <w:pPr>
      <w:spacing w:line="360" w:lineRule="exact"/>
      <w:ind w:firstLine="420" w:firstLineChars="200"/>
    </w:pPr>
    <w:rPr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内容"/>
    <w:basedOn w:val="1"/>
    <w:qFormat/>
    <w:uiPriority w:val="0"/>
    <w:pPr>
      <w:suppressAutoHyphens/>
      <w:overflowPunct w:val="0"/>
      <w:autoSpaceDE w:val="0"/>
      <w:autoSpaceDN w:val="0"/>
      <w:adjustRightInd w:val="0"/>
      <w:spacing w:line="360" w:lineRule="auto"/>
      <w:ind w:firstLine="200" w:firstLineChars="200"/>
    </w:pPr>
    <w:rPr>
      <w:rFonts w:ascii="仿宋_GB2312" w:hAns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xielin</dc:creator>
  <cp:lastModifiedBy>张砚哲</cp:lastModifiedBy>
  <cp:lastPrinted>2022-05-16T14:44:00Z</cp:lastPrinted>
  <dcterms:modified xsi:type="dcterms:W3CDTF">2022-07-05T17:27:14Z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</Properties>
</file>