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kern w:val="2"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30"/>
          <w:kern w:val="0"/>
          <w:sz w:val="52"/>
          <w:szCs w:val="52"/>
          <w:fitText w:val="5742" w:id="1450529788"/>
        </w:rPr>
        <w:t>国家市场监督管理总</w:t>
      </w:r>
      <w:r>
        <w:rPr>
          <w:rFonts w:hint="default" w:ascii="Times New Roman" w:hAnsi="Times New Roman" w:eastAsia="黑体" w:cs="Times New Roman"/>
          <w:bCs/>
          <w:color w:val="000000"/>
          <w:spacing w:val="1"/>
          <w:kern w:val="0"/>
          <w:sz w:val="52"/>
          <w:szCs w:val="52"/>
          <w:fitText w:val="5742" w:id="1450529788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175"/>
          <w:kern w:val="0"/>
          <w:sz w:val="52"/>
          <w:szCs w:val="52"/>
          <w:fitText w:val="5742" w:id="1"/>
        </w:rPr>
        <w:t>行政处罚决定</w:t>
      </w:r>
      <w:r>
        <w:rPr>
          <w:rFonts w:hint="default" w:ascii="Times New Roman" w:hAnsi="Times New Roman" w:eastAsia="黑体" w:cs="Times New Roman"/>
          <w:bCs/>
          <w:color w:val="000000"/>
          <w:spacing w:val="1"/>
          <w:kern w:val="0"/>
          <w:sz w:val="52"/>
          <w:szCs w:val="52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国市监处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〔202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〕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ind w:left="0" w:leftChars="0" w:firstLine="619" w:firstLineChars="197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当事人：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腾讯控股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有限公司（Tencent Holding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Limited）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ind w:left="0" w:leftChars="0" w:firstLine="619" w:firstLineChars="197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住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所：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开曼群岛哈金斯大道克里奇广场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2681邮箱（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Cricket Square Hutchins Drive P.O.Box 2681 Grand Cayman KYI-1111 Cayman Islands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根据《中华人民共和国反垄断法》（以下简称《反垄断法》）《经营者集中审查暂行规定》，本机关于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eastAsia" w:eastAsia="仿宋_GB2312" w:cs="Times New Roman"/>
          <w:color w:val="auto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月1</w:t>
      </w:r>
      <w:r>
        <w:rPr>
          <w:rFonts w:hint="eastAsia" w:eastAsia="仿宋_GB2312" w:cs="Times New Roman"/>
          <w:color w:val="auto"/>
          <w:sz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腾讯控股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有限公司（Tencent Holding</w:t>
      </w:r>
      <w:r>
        <w:rPr>
          <w:rFonts w:hint="eastAsia" w:eastAsia="仿宋_GB2312" w:cs="Times New Roman"/>
          <w:sz w:val="32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Limited</w:t>
      </w:r>
      <w:r>
        <w:rPr>
          <w:rFonts w:hint="default" w:ascii="Times New Roman" w:hAnsi="Times New Roman" w:eastAsia="仿宋_GB2312" w:cs="Times New Roman"/>
          <w:sz w:val="32"/>
        </w:rPr>
        <w:t>，以下简称</w:t>
      </w:r>
      <w:r>
        <w:rPr>
          <w:rFonts w:hint="eastAsia" w:eastAsia="仿宋_GB2312" w:cs="Times New Roman"/>
          <w:sz w:val="32"/>
          <w:lang w:eastAsia="zh-CN"/>
        </w:rPr>
        <w:t>腾讯</w:t>
      </w:r>
      <w:r>
        <w:rPr>
          <w:rFonts w:hint="default" w:ascii="Times New Roman" w:hAnsi="Times New Roman" w:eastAsia="仿宋_GB2312" w:cs="Times New Roman"/>
          <w:sz w:val="32"/>
        </w:rPr>
        <w:t>）收购速波赛尔有限公司（Supercell Oy，以下简称速波赛尔）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股权</w:t>
      </w:r>
      <w:r>
        <w:rPr>
          <w:rFonts w:hint="default" w:ascii="Times New Roman" w:hAnsi="Times New Roman" w:eastAsia="仿宋_GB2312" w:cs="Times New Roman"/>
          <w:sz w:val="32"/>
        </w:rPr>
        <w:t>涉嫌</w:t>
      </w:r>
      <w:r>
        <w:rPr>
          <w:rFonts w:hint="eastAsia" w:eastAsia="仿宋_GB2312" w:cs="Times New Roman"/>
          <w:color w:val="auto"/>
          <w:sz w:val="32"/>
          <w:lang w:val="en-US" w:eastAsia="zh-CN"/>
        </w:rPr>
        <w:t>未依法申报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违法实施经营者集中案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进行立案调查。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经查，该案构成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未依法申报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违法实施经营者集中，但不具有排除、限制竞争的效果。本机关按照《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行政处罚法》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（以下简称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《行政处罚法》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的规定，向</w:t>
      </w:r>
      <w:r>
        <w:rPr>
          <w:rFonts w:hint="eastAsia" w:eastAsia="仿宋_GB2312" w:cs="Times New Roman"/>
          <w:sz w:val="32"/>
          <w:lang w:val="en-US" w:eastAsia="zh-CN"/>
        </w:rPr>
        <w:t>腾讯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送达了《行政处罚告知书》，告知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拟作出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行政处罚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内容及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事实、理由、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依据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并告知当事人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依法享有的陈述、申辩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要求听证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权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利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。</w:t>
      </w:r>
      <w:r>
        <w:rPr>
          <w:rFonts w:hint="eastAsia" w:eastAsia="仿宋_GB2312" w:cs="Times New Roman"/>
          <w:sz w:val="32"/>
          <w:lang w:val="en-US" w:eastAsia="zh-CN"/>
        </w:rPr>
        <w:t>腾讯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在规定期限内没有提出陈述、申辩意见或要求举行听证。本案现已调查、审理终结。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>（一）交易方。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after="160" w:line="580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收购方：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腾讯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1999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11月于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英属维尔京群岛注册成立，2004年2月迁册至英属开曼群岛，2004年6月在香港联交所上市，通过协议控制境内主要运营实体深圳市腾讯计算机系统有限公司。主要业务包括社交和通信服务、社交网络平台、游戏、网络视频服务、互动娱乐直播等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2015年度腾讯全球营业额为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（略）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人民币（币种下同），中国境内营业额为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（略）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</w:rPr>
        <w:t>被收购方：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速波赛尔。</w:t>
      </w:r>
      <w:r>
        <w:rPr>
          <w:rFonts w:hint="default" w:ascii="Times New Roman" w:hAnsi="Times New Roman" w:eastAsia="仿宋_GB2312" w:cs="Times New Roman"/>
          <w:sz w:val="32"/>
        </w:rPr>
        <w:t>2010年于芬兰赫尔辛基注册成立，主要从事网络游戏研发与运营业务，最终控制人为软银集团。2015年全球营业额为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（略）</w:t>
      </w:r>
      <w:r>
        <w:rPr>
          <w:rFonts w:hint="default" w:ascii="Times New Roman" w:hAnsi="Times New Roman" w:eastAsia="仿宋_GB2312" w:cs="Times New Roman"/>
          <w:sz w:val="32"/>
        </w:rPr>
        <w:t>，中国境内营业额为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（略）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>（二）交易概况。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交易系股权收购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年6月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日，腾讯通过其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控制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的特殊目的公司Inari S.à.r.l.与</w:t>
      </w:r>
      <w:r>
        <w:rPr>
          <w:rFonts w:hint="default" w:ascii="Times New Roman" w:hAnsi="Times New Roman" w:eastAsia="仿宋_GB2312" w:cs="Times New Roman"/>
          <w:sz w:val="32"/>
        </w:rPr>
        <w:t>速波赛尔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及其股东等相关方签订股份购买协议，以现金方式获得</w:t>
      </w:r>
      <w:r>
        <w:rPr>
          <w:rFonts w:hint="default" w:ascii="Times New Roman" w:hAnsi="Times New Roman" w:eastAsia="仿宋_GB2312" w:cs="Times New Roman"/>
          <w:sz w:val="32"/>
        </w:rPr>
        <w:t>速波赛尔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76.9%的股份。2016年7月29日完成股权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交割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二、违法事实及理由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80" w:lineRule="exact"/>
        <w:ind w:left="0" w:firstLine="628" w:firstLineChars="200"/>
        <w:jc w:val="both"/>
        <w:textAlignment w:val="auto"/>
        <w:outlineLvl w:val="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（一）本案构成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未依法申报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违法实施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的经营者集中。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对其他经营者的控制权或者能够对其他经营者施加决定性影响”。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腾讯收购</w:t>
      </w:r>
      <w:r>
        <w:rPr>
          <w:rFonts w:hint="default" w:ascii="Times New Roman" w:hAnsi="Times New Roman" w:eastAsia="仿宋_GB2312" w:cs="Times New Roman"/>
          <w:sz w:val="32"/>
        </w:rPr>
        <w:t>速波赛尔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76.9%的股权并获得对</w:t>
      </w:r>
      <w:r>
        <w:rPr>
          <w:rFonts w:hint="default" w:ascii="Times New Roman" w:hAnsi="Times New Roman" w:eastAsia="仿宋_GB2312" w:cs="Times New Roman"/>
          <w:sz w:val="32"/>
        </w:rPr>
        <w:t>速波赛尔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的控制权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6"/>
          <w:lang w:eastAsia="zh-CN"/>
        </w:rPr>
        <w:t>属于《反垄断法》第二十条规定的经营者集中。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pacing w:line="580" w:lineRule="exact"/>
        <w:ind w:left="0" w:firstLine="643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2015年，腾讯全球营业额为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，中国境内营业额为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（略）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速波赛尔全球营业额为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，中国境内营业额为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（略）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达到《国务院关于经营者集中申报标准的规定》第三条规定的申报标准，属于应当申报的情形。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ind w:firstLine="616" w:firstLineChars="196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《反垄断法》第二十一条规定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营者集中达到国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2016年7月29日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上述交易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完成股权变更登记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在此之前未依法申报，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违反《反垄断法》第二十一条，构成未依法申报违法实施的经营者集中。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ind w:firstLine="628" w:firstLineChars="200"/>
        <w:textAlignment w:val="auto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本机关就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腾讯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收购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速波赛尔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股权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对市场竞争的影响进行了评估，评估认为，该项经营者集中不会产生排除、限制竞争的效果。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ind w:firstLine="616" w:firstLineChars="196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《反垄断法》第四十八条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《反垄断法》第四十九条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上述规定，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基于调查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情况和评估结论，本机关</w:t>
      </w:r>
      <w:r>
        <w:rPr>
          <w:rFonts w:hint="eastAsia" w:eastAsia="仿宋_GB2312" w:cs="Times New Roman"/>
          <w:bCs/>
          <w:color w:val="000000"/>
          <w:kern w:val="2"/>
          <w:sz w:val="32"/>
          <w:szCs w:val="32"/>
          <w:lang w:eastAsia="zh-CN"/>
        </w:rPr>
        <w:t>现决定对</w:t>
      </w:r>
      <w:r>
        <w:rPr>
          <w:rFonts w:hint="eastAsia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腾讯处以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罚款</w:t>
      </w:r>
      <w:r>
        <w:rPr>
          <w:rFonts w:hint="eastAsia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0万元的行政处罚。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《行政处罚法》第六十七条规定“作出罚款决定的行政机关应当与收缴罚款的机构分离。除依照本法第六十八条、第六十九条的规定当场收缴的罚款外，作出行政处罚决定的行政机关及其执法人员不得自行收缴罚款。当事人应当自收到行政处罚决定书之日起十五日内，到指定的银行或者通过电子支付系统缴纳罚款。银行应当收受罚款，并将罚款直接上缴国库”。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当事人应当自收到本行政处罚决定书之日起十五日内，携缴款码到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15家中央财政非税收入收缴代理银行（工、农、中、建、交、中信、光大、招商、邮储、华夏、平安、兴业、民生、广发、浙商）任一银行网点、网上银行缴纳罚款。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缴款码：</w:t>
      </w:r>
      <w:r>
        <w:rPr>
          <w:rFonts w:hint="eastAsia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（略）。</w:t>
      </w:r>
      <w:r>
        <w:rPr>
          <w:rFonts w:hint="eastAsia" w:eastAsia="仿宋_GB2312"/>
          <w:bCs/>
          <w:color w:val="000000"/>
          <w:sz w:val="32"/>
          <w:szCs w:val="32"/>
        </w:rPr>
        <w:t>到期不缴纳罚款的，依据《行政处罚法》第七十二条的规定，本机关将每日按罚款数额的百分之三加处罚款,并依法申请人民法院强制执行。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 xml:space="preserve">当事人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80" w:lineRule="exact"/>
        <w:ind w:firstLine="5433" w:firstLineChars="173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80" w:lineRule="exact"/>
        <w:ind w:firstLine="5225" w:firstLineChars="1664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ind w:firstLine="628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（此件公开发布）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textAlignment w:val="auto"/>
        <w:rPr>
          <w:rFonts w:hint="default"/>
        </w:rPr>
      </w:pPr>
    </w:p>
    <w:sectPr>
      <w:footerReference r:id="rId3" w:type="default"/>
      <w:footerReference r:id="rId4" w:type="even"/>
      <w:pgSz w:w="11906" w:h="16838"/>
      <w:pgMar w:top="1898" w:right="1474" w:bottom="1985" w:left="1474" w:header="851" w:footer="1814" w:gutter="0"/>
      <w:cols w:space="720" w:num="1"/>
      <w:docGrid w:type="linesAndChars" w:linePitch="289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66991"/>
    <w:rsid w:val="02654D32"/>
    <w:rsid w:val="19C71D57"/>
    <w:rsid w:val="238405CE"/>
    <w:rsid w:val="251F784E"/>
    <w:rsid w:val="275158DE"/>
    <w:rsid w:val="27721479"/>
    <w:rsid w:val="2DE82422"/>
    <w:rsid w:val="320A72EE"/>
    <w:rsid w:val="331B0238"/>
    <w:rsid w:val="340C5368"/>
    <w:rsid w:val="3CB33C6A"/>
    <w:rsid w:val="3D973AFE"/>
    <w:rsid w:val="477829E6"/>
    <w:rsid w:val="47FA153B"/>
    <w:rsid w:val="49337785"/>
    <w:rsid w:val="4E746413"/>
    <w:rsid w:val="50F656A6"/>
    <w:rsid w:val="52820D71"/>
    <w:rsid w:val="552762F9"/>
    <w:rsid w:val="60BF4F59"/>
    <w:rsid w:val="60CC71BE"/>
    <w:rsid w:val="611E177A"/>
    <w:rsid w:val="634F39C4"/>
    <w:rsid w:val="6A942D68"/>
    <w:rsid w:val="6EC37903"/>
    <w:rsid w:val="76015E5A"/>
    <w:rsid w:val="7F3A7651"/>
    <w:rsid w:val="AB2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xielin</dc:creator>
  <cp:lastModifiedBy>张砚哲</cp:lastModifiedBy>
  <cp:lastPrinted>2022-05-16T14:39:00Z</cp:lastPrinted>
  <dcterms:modified xsi:type="dcterms:W3CDTF">2022-07-05T17:30:00Z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