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30"/>
          <w:kern w:val="0"/>
          <w:sz w:val="52"/>
          <w:szCs w:val="52"/>
          <w:fitText w:val="5742" w:id="1450529788"/>
        </w:rPr>
        <w:t>国家市场监督管理总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45052978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175"/>
          <w:kern w:val="0"/>
          <w:sz w:val="52"/>
          <w:szCs w:val="52"/>
          <w:fitText w:val="5742" w:id="1"/>
        </w:rPr>
        <w:t>行政处罚决定</w:t>
      </w:r>
      <w:r>
        <w:rPr>
          <w:rFonts w:hint="default" w:ascii="Times New Roman" w:hAnsi="Times New Roman" w:eastAsia="黑体" w:cs="Times New Roman"/>
          <w:bCs/>
          <w:color w:val="000000"/>
          <w:spacing w:val="1"/>
          <w:kern w:val="0"/>
          <w:sz w:val="52"/>
          <w:szCs w:val="52"/>
          <w:fitText w:val="5742" w:id="1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国市监处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上海申通地铁集团有限公司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上海市衡山路12号商务楼3楼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当事人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</w:rPr>
        <w:t>庞巴迪运输瑞典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left="0" w:leftChars="0" w:firstLine="619" w:firstLineChars="197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住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所：SE-721 73 Västerås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94" w:lineRule="exact"/>
        <w:ind w:firstLine="628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根据《中华人民共和国反垄断法》（以下简称《反垄断法》）《经营者集中审查暂行规定》，本机关于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上海申通地铁集团有限公司</w:t>
      </w:r>
      <w:r>
        <w:rPr>
          <w:rFonts w:hint="default" w:ascii="Times New Roman" w:hAnsi="Times New Roman" w:eastAsia="仿宋_GB2312" w:cs="Times New Roman"/>
          <w:sz w:val="32"/>
        </w:rPr>
        <w:t>（以下简称上海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申通</w:t>
      </w:r>
      <w:r>
        <w:rPr>
          <w:rFonts w:hint="default" w:ascii="Times New Roman" w:hAnsi="Times New Roman" w:eastAsia="仿宋_GB2312" w:cs="Times New Roman"/>
          <w:sz w:val="32"/>
        </w:rPr>
        <w:t>）和庞巴迪运输瑞典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sz w:val="32"/>
        </w:rPr>
        <w:t>（以下简称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sz w:val="32"/>
        </w:rPr>
        <w:t>庞巴迪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）新设合营企业申通庞巴迪（上海）轨道交通车辆维修有限公司（以下简称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涉嫌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违法实施经营者集中案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进行立案调查。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经查，该案构成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违法实施经营者集中，但不具有排除、限制竞争的效果。本机关按照《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《行政处罚法》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的规定，向</w:t>
      </w:r>
      <w:r>
        <w:rPr>
          <w:rFonts w:hint="eastAsia" w:eastAsia="仿宋_GB2312" w:cs="Times New Roman"/>
          <w:sz w:val="32"/>
          <w:lang w:val="en-US" w:eastAsia="zh-CN"/>
        </w:rPr>
        <w:t>上海申通、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sz w:val="32"/>
        </w:rPr>
        <w:t>庞巴迪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送达了《行政处罚告知书》，告知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拟作出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行政处罚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事实、理由、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并告知当事人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依法享有的陈述、申辩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要求听证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权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/>
        </w:rPr>
        <w:t>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  <w:r>
        <w:rPr>
          <w:rFonts w:hint="eastAsia" w:eastAsia="仿宋_GB2312" w:cs="Times New Roman"/>
          <w:sz w:val="32"/>
          <w:lang w:val="en-US" w:eastAsia="zh-CN"/>
        </w:rPr>
        <w:t>上海申通与瑞典庞巴迪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在规定期限内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没有提出陈述、申辩意见或要求举行听证。本案现已调查、审理终结。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（一）交易方。</w:t>
      </w:r>
    </w:p>
    <w:p>
      <w:pPr>
        <w:suppressAutoHyphens/>
        <w:overflowPunct w:val="0"/>
        <w:autoSpaceDE w:val="0"/>
        <w:autoSpaceDN w:val="0"/>
        <w:adjustRightInd w:val="0"/>
        <w:spacing w:after="160" w:line="594" w:lineRule="exact"/>
        <w:ind w:firstLine="628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合营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方</w:t>
      </w:r>
      <w:r>
        <w:rPr>
          <w:rFonts w:hint="eastAsia" w:eastAsia="仿宋_GB2312" w:cs="Times New Roman"/>
          <w:b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上海申通</w:t>
      </w:r>
      <w:r>
        <w:rPr>
          <w:rFonts w:hint="default" w:ascii="Times New Roman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2000年于中国上海注册成立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主要从事轨道交通建设管理及综合经营、轨道交通设施设备经营、利用自有媒体发布广告、实业投资等业务。2011年上海申通全球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中国境内营业额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人民币（币种下同）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eastAsia="仿宋_GB2312" w:cs="Times New Roman"/>
          <w:b/>
          <w:sz w:val="32"/>
          <w:lang w:eastAsia="zh-CN"/>
        </w:rPr>
        <w:t>合营</w:t>
      </w:r>
      <w:r>
        <w:rPr>
          <w:rFonts w:hint="default" w:ascii="Times New Roman" w:hAnsi="Times New Roman" w:eastAsia="仿宋_GB2312" w:cs="Times New Roman"/>
          <w:b/>
          <w:sz w:val="32"/>
        </w:rPr>
        <w:t>方</w:t>
      </w:r>
      <w:r>
        <w:rPr>
          <w:rFonts w:hint="eastAsia" w:eastAsia="仿宋_GB2312" w:cs="Times New Roman"/>
          <w:b/>
          <w:sz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sz w:val="32"/>
        </w:rPr>
        <w:t>：</w:t>
      </w:r>
      <w:r>
        <w:rPr>
          <w:rFonts w:hint="eastAsia" w:eastAsia="仿宋_GB2312" w:cs="Times New Roman"/>
          <w:b/>
          <w:bCs/>
          <w:sz w:val="32"/>
          <w:lang w:eastAsia="zh-CN"/>
        </w:rPr>
        <w:t>瑞典庞巴迪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1966年于瑞典注册成立，最终控制人为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庞巴迪公司（</w:t>
      </w:r>
      <w:r>
        <w:rPr>
          <w:rFonts w:hint="default" w:ascii="Times New Roman" w:hAnsi="Times New Roman" w:eastAsia="仿宋_GB2312" w:cs="Times New Roman"/>
          <w:sz w:val="32"/>
        </w:rPr>
        <w:t>Bombardier Inc.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，主要从事建设、制造和销售轨道车辆及与轨道交通相关的材料设备、轨道设备、轨道控制和信号系统以及牵引和控制设备业务。2011年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sz w:val="32"/>
        </w:rPr>
        <w:t>庞巴迪全球营业额为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，中国境内营业额为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（二）交易概况。</w:t>
      </w:r>
    </w:p>
    <w:p>
      <w:pPr>
        <w:pStyle w:val="9"/>
        <w:spacing w:line="240" w:lineRule="auto"/>
        <w:ind w:firstLine="64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交易系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新设合营企业。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2012年11月，上海申通与庞巴迪签署合资协议，各出资2000万元设立合营企业，分别持股50%和50%，共同控制合营企业。2012年12月3日，合营企业获得营业执照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二、违法事实及理由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94" w:lineRule="exact"/>
        <w:ind w:left="0" w:firstLine="628" w:firstLineChars="200"/>
        <w:jc w:val="both"/>
        <w:textAlignment w:val="auto"/>
        <w:outlineLvl w:val="0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（一）本案构成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未依法申报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违法实施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的经营者集中。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《反垄断法》第二十条规定“经营者集中是指下列情形：（一）经营者合并；（二）经营者通过取得股权或者资产的方式取得对其他经营者的控制权；（三）经营者通过合同等方式取得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对其他经营者的控制权或者能够对其他经营者施加决定性影响”。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上海申通与庞巴迪设立合营企业，分别持股</w:t>
      </w:r>
      <w:r>
        <w:rPr>
          <w:rFonts w:hint="eastAsia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50%，共同控制合营企业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6"/>
          <w:lang w:eastAsia="zh-CN"/>
        </w:rPr>
        <w:t>属于《反垄断法》第二十条规定的经营者集中。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pacing w:line="594" w:lineRule="exact"/>
        <w:ind w:left="0" w:firstLine="643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2011年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，上海申通全球营业额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中国境内营业额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sz w:val="32"/>
        </w:rPr>
        <w:t>庞巴迪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</w:t>
      </w:r>
      <w:r>
        <w:rPr>
          <w:rFonts w:hint="default" w:ascii="Times New Roman" w:hAnsi="Times New Roman" w:eastAsia="仿宋_GB2312" w:cs="Times New Roman"/>
          <w:sz w:val="32"/>
        </w:rPr>
        <w:t>营业额为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</w:rPr>
        <w:t>，中国境内营业额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（略）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达到《国务院关于经营者集中申报标准的规定》第三条规定的申报标准，属于应当申报的情形。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《反垄断法》第二十一条规定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营者集中达到国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u w:val="none"/>
          <w:lang w:val="en-US" w:eastAsia="zh-CN" w:bidi="ar-SA"/>
        </w:rPr>
        <w:t>务院规定的申报标准的，经营者应当事先向国务院反垄断执法机构申报，未申报的不得实施集中”。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2012年12月3日，合营企业获得营业执照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在此之前未依法申报，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违反《反垄断法》第二十一条，构成未依法申报违法实施的经营者集中。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>（二）本案不具有排除、限制竞争的效果。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本机关就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上海申通与瑞典庞巴迪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新设合营企业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对市场竞争的影响进行了评估，评估认为，该项经营者集中不会产生排除、限制竞争的效果。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三、行政处罚依据和决定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16" w:firstLineChars="196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《反垄断法》第四十八条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规定“经营者违反本法规定实施集中的，由国务院反垄断执法机构责令停止实施集中、限期处分股份或者资产、限期转让营业以及采取其他必要措施恢复到集中前的状态，可以处五十万元以下的罚款”。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《反垄断法》第四十九条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规定“对本法第四十六条、第四十七条、第四十八条规定的罚款，反垄断执法机构确定具体罚款数额时，应当考虑违法行为的性质、程度和持续的时间等因素”。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上述规定，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</w:rPr>
        <w:t>基于调查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情况和评估结论，本机关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现决定作出以下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行政处罚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上海申通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处以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30万元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庞巴迪处以罚款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《行政处罚法》第六十七条规定“作出罚款决定的行政机关应当与收缴罚款的机构分离。除依照本法第六十八条、第六十九条的规定当场收缴的罚款外，作出行政处罚决定的行政机关及其执法人员不得自行收缴罚款。当事人应当自收到行政处罚决定书之日起十五日内，到指定的银行或者通过电子支付系统缴纳罚款。银行应当收受罚款，并将罚款直接上缴国库”。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当事人应当自收到本行政处罚决定书之日起十五日内，携缴款码到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15家中央财政非税收入收缴代理银行（工、农、中、建、交、中信、光大、招商、邮储、华夏、平安、兴业、民生、广发、浙商）任一银行网点、网上银行缴纳罚款。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上海申通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瑞典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庞巴迪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罚款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>缴款码：</w:t>
      </w:r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（略）</w:t>
      </w:r>
      <w:bookmarkStart w:id="0" w:name="_GoBack"/>
      <w:bookmarkEnd w:id="0"/>
      <w:r>
        <w:rPr>
          <w:rFonts w:hint="eastAsia" w:eastAsia="仿宋_GB2312" w:cs="Times New Roman"/>
          <w:bCs/>
          <w:color w:val="000000"/>
          <w:kern w:val="2"/>
          <w:sz w:val="32"/>
          <w:szCs w:val="32"/>
          <w:lang w:val="en-US" w:eastAsia="zh-CN"/>
        </w:rPr>
        <w:t>。</w:t>
      </w:r>
      <w:r>
        <w:rPr>
          <w:rFonts w:hint="eastAsia" w:eastAsia="仿宋_GB2312"/>
          <w:bCs/>
          <w:color w:val="000000"/>
          <w:sz w:val="32"/>
          <w:szCs w:val="32"/>
        </w:rPr>
        <w:t>到期不缴纳罚款的，依据《行政处罚法》第七十二条的规定，本机关将每日按罚款数额的百分之三加处罚款,并依法申请人民法院强制执行。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594" w:lineRule="exact"/>
        <w:ind w:firstLine="628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eastAsia="zh-CN"/>
        </w:rPr>
        <w:t xml:space="preserve">当事人如对上述行政处罚决定不服，可以自收到本行政处罚决定书之日起六十日内，向国家市场监督管理总局申请行政复议；或者自收到本行政处罚决定书之日起六个月内，依法向人民法院提起行政诉讼。行政复议或者行政诉讼期间，本行政处罚决定不停止执行。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433" w:firstLineChars="173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市场监管总局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 w:val="0"/>
        <w:spacing w:line="594" w:lineRule="exact"/>
        <w:ind w:firstLine="5225" w:firstLineChars="1664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ind w:firstLine="628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（此件公开发布）</w:t>
      </w: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898" w:right="1474" w:bottom="1985" w:left="1474" w:header="851" w:footer="1814" w:gutter="0"/>
      <w:cols w:space="720" w:num="1"/>
      <w:docGrid w:type="linesAndChars" w:linePitch="289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66991"/>
    <w:rsid w:val="057C4888"/>
    <w:rsid w:val="15B502B5"/>
    <w:rsid w:val="19C71D57"/>
    <w:rsid w:val="238405CE"/>
    <w:rsid w:val="251F784E"/>
    <w:rsid w:val="27721479"/>
    <w:rsid w:val="2DE82422"/>
    <w:rsid w:val="320A72EE"/>
    <w:rsid w:val="331B0238"/>
    <w:rsid w:val="340C5368"/>
    <w:rsid w:val="3CB33C6A"/>
    <w:rsid w:val="3D973AFE"/>
    <w:rsid w:val="477829E6"/>
    <w:rsid w:val="49337785"/>
    <w:rsid w:val="4B897D37"/>
    <w:rsid w:val="50F656A6"/>
    <w:rsid w:val="52820D71"/>
    <w:rsid w:val="552762F9"/>
    <w:rsid w:val="60CC71BE"/>
    <w:rsid w:val="611E177A"/>
    <w:rsid w:val="634F39C4"/>
    <w:rsid w:val="6A0A46CA"/>
    <w:rsid w:val="6A636CBC"/>
    <w:rsid w:val="6A942D68"/>
    <w:rsid w:val="6CA06D45"/>
    <w:rsid w:val="6EC37903"/>
    <w:rsid w:val="74A3323D"/>
    <w:rsid w:val="76015E5A"/>
    <w:rsid w:val="7F3A7651"/>
    <w:rsid w:val="BFDFB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Normal Indent"/>
    <w:basedOn w:val="1"/>
    <w:qFormat/>
    <w:uiPriority w:val="0"/>
    <w:pPr>
      <w:spacing w:line="360" w:lineRule="exact"/>
      <w:ind w:firstLine="420" w:firstLine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内容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360" w:lineRule="auto"/>
      <w:ind w:firstLine="200" w:firstLineChars="20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xielin</dc:creator>
  <cp:lastModifiedBy>张砚哲</cp:lastModifiedBy>
  <cp:lastPrinted>2022-05-16T16:24:00Z</cp:lastPrinted>
  <dcterms:modified xsi:type="dcterms:W3CDTF">2022-07-05T17:33:48Z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