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left"/>
        <w:rPr>
          <w:rFonts w:ascii="Times" w:hAnsi="Times"/>
          <w:b/>
          <w:szCs w:val="21"/>
        </w:rPr>
      </w:pPr>
      <w:r>
        <w:rPr>
          <w:rFonts w:ascii="Times" w:hAnsi="Times"/>
          <w:b/>
          <w:szCs w:val="21"/>
        </w:rPr>
        <w:t>附件2</w:t>
      </w:r>
    </w:p>
    <w:p>
      <w:pPr>
        <w:spacing w:line="440" w:lineRule="exact"/>
        <w:jc w:val="center"/>
        <w:rPr>
          <w:rFonts w:ascii="Times" w:hAnsi="Times" w:eastAsia="黑体"/>
          <w:sz w:val="30"/>
          <w:szCs w:val="30"/>
        </w:rPr>
      </w:pPr>
      <w:r>
        <w:rPr>
          <w:rFonts w:ascii="Times" w:hAnsi="Times" w:eastAsia="黑体"/>
          <w:sz w:val="30"/>
          <w:szCs w:val="30"/>
        </w:rPr>
        <w:t>经营者集中简易案件公示表</w:t>
      </w:r>
    </w:p>
    <w:p>
      <w:pPr>
        <w:spacing w:line="440" w:lineRule="exact"/>
        <w:rPr>
          <w:rFonts w:ascii="Times" w:hAnsi="Times" w:eastAsia="黑体"/>
          <w:sz w:val="28"/>
          <w:szCs w:val="28"/>
        </w:rPr>
      </w:pPr>
    </w:p>
    <w:p>
      <w:pPr>
        <w:spacing w:line="440" w:lineRule="exact"/>
        <w:ind w:firstLine="845" w:firstLineChars="302"/>
        <w:rPr>
          <w:rFonts w:ascii="Times" w:hAnsi="Times" w:eastAsia="仿宋_GB2312"/>
          <w:sz w:val="28"/>
          <w:szCs w:val="28"/>
        </w:rPr>
      </w:pP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案件名称</w:t>
            </w:r>
          </w:p>
        </w:tc>
        <w:tc>
          <w:tcPr>
            <w:tcW w:w="6949" w:type="dxa"/>
            <w:gridSpan w:val="2"/>
          </w:tcPr>
          <w:p>
            <w:pPr>
              <w:spacing w:line="500" w:lineRule="exact"/>
              <w:rPr>
                <w:rFonts w:ascii="Times" w:hAnsi="Times" w:eastAsia="仿宋" w:cs="宋体"/>
                <w:color w:val="333333"/>
                <w:kern w:val="0"/>
                <w:sz w:val="24"/>
                <w:szCs w:val="24"/>
              </w:rPr>
            </w:pPr>
            <w:r>
              <w:rPr>
                <w:rFonts w:ascii="Times" w:hAnsi="Times" w:eastAsia="仿宋" w:cs="宋体"/>
                <w:color w:val="333333"/>
                <w:kern w:val="0"/>
                <w:sz w:val="24"/>
                <w:szCs w:val="24"/>
              </w:rPr>
              <w:t>腾云唯创医疗器械有限公司与HHF Lotus Partners L.P.等经营者收购山东冠龙医疗用品有限公司股权案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交易概况</w:t>
            </w:r>
          </w:p>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（限200字内）</w:t>
            </w:r>
          </w:p>
        </w:tc>
        <w:tc>
          <w:tcPr>
            <w:tcW w:w="6949" w:type="dxa"/>
            <w:gridSpan w:val="2"/>
          </w:tcPr>
          <w:p>
            <w:pPr>
              <w:spacing w:line="500" w:lineRule="exact"/>
              <w:rPr>
                <w:rFonts w:ascii="Times" w:hAnsi="Times" w:eastAsia="仿宋" w:cs="宋体"/>
                <w:color w:val="333333"/>
                <w:kern w:val="0"/>
                <w:sz w:val="24"/>
                <w:szCs w:val="24"/>
              </w:rPr>
            </w:pPr>
            <w:r>
              <w:rPr>
                <w:rFonts w:ascii="Times" w:hAnsi="Times" w:eastAsia="仿宋" w:cs="宋体"/>
                <w:color w:val="333333"/>
                <w:kern w:val="0"/>
                <w:sz w:val="24"/>
                <w:szCs w:val="24"/>
              </w:rPr>
              <w:t>本次交易，腾云唯创医疗器械有限公司（“腾云唯创”）</w:t>
            </w:r>
            <w:r>
              <w:rPr>
                <w:rFonts w:hint="eastAsia" w:ascii="Times" w:hAnsi="Times" w:eastAsia="仿宋" w:cs="宋体"/>
                <w:color w:val="333333"/>
                <w:kern w:val="0"/>
                <w:sz w:val="24"/>
                <w:szCs w:val="24"/>
              </w:rPr>
              <w:t>、</w:t>
            </w:r>
            <w:r>
              <w:rPr>
                <w:rFonts w:ascii="Times" w:hAnsi="Times" w:eastAsia="仿宋" w:cs="宋体"/>
                <w:color w:val="333333"/>
                <w:kern w:val="0"/>
                <w:sz w:val="24"/>
                <w:szCs w:val="24"/>
              </w:rPr>
              <w:t>HHF Lotus Partners L.P.（“HHF”）</w:t>
            </w:r>
            <w:r>
              <w:rPr>
                <w:rFonts w:hint="eastAsia" w:ascii="Times" w:hAnsi="Times" w:eastAsia="仿宋" w:cs="宋体"/>
                <w:color w:val="333333"/>
                <w:kern w:val="0"/>
                <w:sz w:val="24"/>
                <w:szCs w:val="24"/>
              </w:rPr>
              <w:t>、</w:t>
            </w:r>
            <w:r>
              <w:rPr>
                <w:rFonts w:ascii="Times" w:hAnsi="Times" w:eastAsia="仿宋" w:cs="宋体"/>
                <w:color w:val="333333"/>
                <w:kern w:val="0"/>
                <w:sz w:val="24"/>
                <w:szCs w:val="24"/>
              </w:rPr>
              <w:t>天津华兴合利一号医疗股权投资合伙企业（有限合伙）（“天津华兴”</w:t>
            </w:r>
            <w:r>
              <w:rPr>
                <w:rFonts w:hint="eastAsia" w:ascii="Times" w:hAnsi="Times" w:eastAsia="仿宋" w:cs="宋体"/>
                <w:color w:val="333333"/>
                <w:kern w:val="0"/>
                <w:sz w:val="24"/>
                <w:szCs w:val="24"/>
              </w:rPr>
              <w:t>）、</w:t>
            </w:r>
            <w:r>
              <w:rPr>
                <w:rFonts w:ascii="Times" w:hAnsi="Times" w:eastAsia="仿宋" w:cs="宋体"/>
                <w:color w:val="333333"/>
                <w:kern w:val="0"/>
                <w:sz w:val="24"/>
                <w:szCs w:val="24"/>
              </w:rPr>
              <w:t>Capital Castle Limited（“CCL”）</w:t>
            </w:r>
            <w:r>
              <w:rPr>
                <w:rFonts w:hint="eastAsia" w:ascii="Times" w:hAnsi="Times" w:eastAsia="仿宋" w:cs="宋体"/>
                <w:color w:val="333333"/>
                <w:kern w:val="0"/>
                <w:sz w:val="24"/>
                <w:szCs w:val="24"/>
              </w:rPr>
              <w:t>（以上四方合称“收购方”）拟合计收购</w:t>
            </w:r>
            <w:r>
              <w:rPr>
                <w:rFonts w:ascii="Times" w:hAnsi="Times" w:eastAsia="仿宋" w:cs="宋体"/>
                <w:color w:val="333333"/>
                <w:kern w:val="0"/>
                <w:sz w:val="24"/>
                <w:szCs w:val="24"/>
              </w:rPr>
              <w:t>山东冠龙医疗用品有限公司（“山东冠龙”）</w:t>
            </w:r>
            <w:r>
              <w:rPr>
                <w:rFonts w:hint="eastAsia" w:ascii="Times" w:hAnsi="Times" w:eastAsia="仿宋" w:cs="宋体"/>
                <w:color w:val="333333"/>
                <w:kern w:val="0"/>
                <w:sz w:val="24"/>
                <w:szCs w:val="24"/>
              </w:rPr>
              <w:t>70.88%股权，并在交易后与山东冠龙的现控制方邵卫星取得对山东冠龙</w:t>
            </w:r>
            <w:r>
              <w:rPr>
                <w:rFonts w:hint="eastAsia" w:ascii="Times" w:hAnsi="Times" w:eastAsia="仿宋" w:cs="宋体"/>
                <w:color w:val="333333"/>
                <w:kern w:val="0"/>
                <w:sz w:val="24"/>
                <w:szCs w:val="24"/>
                <w:lang w:val="en-US" w:eastAsia="zh-CN"/>
              </w:rPr>
              <w:t>在反垄断法意义下</w:t>
            </w:r>
            <w:r>
              <w:rPr>
                <w:rFonts w:hint="eastAsia" w:ascii="Times" w:hAnsi="Times" w:eastAsia="仿宋" w:cs="宋体"/>
                <w:color w:val="333333"/>
                <w:kern w:val="0"/>
                <w:sz w:val="24"/>
                <w:szCs w:val="24"/>
              </w:rPr>
              <w:t>的共同控制权。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参与集中的</w:t>
            </w:r>
          </w:p>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经营者简介</w:t>
            </w:r>
          </w:p>
        </w:tc>
        <w:tc>
          <w:tcPr>
            <w:tcW w:w="1796" w:type="dxa"/>
            <w:vAlign w:val="center"/>
          </w:tcPr>
          <w:p>
            <w:pPr>
              <w:spacing w:line="500" w:lineRule="exact"/>
              <w:rPr>
                <w:rFonts w:ascii="Times" w:hAnsi="Times" w:eastAsia="仿宋" w:cs="宋体"/>
                <w:color w:val="333333"/>
                <w:kern w:val="0"/>
                <w:sz w:val="24"/>
                <w:szCs w:val="24"/>
              </w:rPr>
            </w:pPr>
            <w:r>
              <w:rPr>
                <w:rFonts w:ascii="Times" w:hAnsi="Times" w:eastAsia="仿宋" w:cs="宋体"/>
                <w:color w:val="333333"/>
                <w:kern w:val="0"/>
                <w:sz w:val="24"/>
                <w:szCs w:val="24"/>
              </w:rPr>
              <w:t>1、</w:t>
            </w:r>
            <w:r>
              <w:rPr>
                <w:rFonts w:hint="eastAsia" w:ascii="Times" w:hAnsi="Times" w:eastAsia="仿宋" w:cs="宋体"/>
                <w:color w:val="333333"/>
                <w:kern w:val="0"/>
                <w:sz w:val="24"/>
                <w:szCs w:val="24"/>
              </w:rPr>
              <w:t>腾云唯创</w:t>
            </w:r>
          </w:p>
        </w:tc>
        <w:tc>
          <w:tcPr>
            <w:tcW w:w="5153"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腾云唯创成立于2</w:t>
            </w:r>
            <w:r>
              <w:rPr>
                <w:rFonts w:ascii="Times" w:hAnsi="Times" w:eastAsia="仿宋" w:cs="宋体"/>
                <w:color w:val="333333"/>
                <w:kern w:val="0"/>
                <w:sz w:val="24"/>
                <w:szCs w:val="24"/>
              </w:rPr>
              <w:t>020</w:t>
            </w:r>
            <w:r>
              <w:rPr>
                <w:rFonts w:hint="eastAsia" w:ascii="Times" w:hAnsi="Times" w:eastAsia="仿宋" w:cs="宋体"/>
                <w:color w:val="333333"/>
                <w:kern w:val="0"/>
                <w:sz w:val="24"/>
                <w:szCs w:val="24"/>
              </w:rPr>
              <w:t>年5月1</w:t>
            </w:r>
            <w:r>
              <w:rPr>
                <w:rFonts w:ascii="Times" w:hAnsi="Times" w:eastAsia="仿宋" w:cs="宋体"/>
                <w:color w:val="333333"/>
                <w:kern w:val="0"/>
                <w:sz w:val="24"/>
                <w:szCs w:val="24"/>
              </w:rPr>
              <w:t>3</w:t>
            </w:r>
            <w:r>
              <w:rPr>
                <w:rFonts w:hint="eastAsia" w:ascii="Times" w:hAnsi="Times" w:eastAsia="仿宋" w:cs="宋体"/>
                <w:color w:val="333333"/>
                <w:kern w:val="0"/>
                <w:sz w:val="24"/>
                <w:szCs w:val="24"/>
              </w:rPr>
              <w:t>日</w:t>
            </w:r>
            <w:r>
              <w:rPr>
                <w:rFonts w:hint="eastAsia" w:ascii="Times" w:hAnsi="Times" w:eastAsia="仿宋" w:cs="宋体"/>
                <w:color w:val="333333"/>
                <w:kern w:val="0"/>
                <w:sz w:val="24"/>
                <w:szCs w:val="24"/>
                <w:lang w:eastAsia="zh-CN"/>
              </w:rPr>
              <w:t>，</w:t>
            </w:r>
            <w:r>
              <w:rPr>
                <w:rFonts w:hint="eastAsia" w:ascii="Times" w:hAnsi="Times" w:eastAsia="仿宋" w:cs="宋体"/>
                <w:color w:val="333333"/>
                <w:kern w:val="0"/>
                <w:sz w:val="24"/>
                <w:szCs w:val="24"/>
                <w:lang w:val="en-US" w:eastAsia="zh-CN"/>
              </w:rPr>
              <w:t>是一家在中国成立的有限责任公司，</w:t>
            </w:r>
            <w:r>
              <w:rPr>
                <w:rFonts w:hint="eastAsia" w:ascii="Times" w:hAnsi="Times" w:eastAsia="仿宋" w:cs="宋体"/>
                <w:color w:val="333333"/>
                <w:kern w:val="0"/>
                <w:sz w:val="24"/>
                <w:szCs w:val="24"/>
              </w:rPr>
              <w:t>其最终控制人世纪金源投资集团有限公司主要从事项目投资业务</w:t>
            </w:r>
            <w:r>
              <w:rPr>
                <w:rFonts w:hint="eastAsia" w:ascii="Times" w:hAnsi="Times" w:eastAsia="仿宋" w:cs="宋体"/>
                <w:color w:val="333333"/>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1796" w:type="dxa"/>
            <w:vAlign w:val="center"/>
          </w:tcPr>
          <w:p>
            <w:pPr>
              <w:spacing w:line="500" w:lineRule="exact"/>
              <w:rPr>
                <w:rFonts w:ascii="Times" w:hAnsi="Times" w:eastAsia="仿宋" w:cs="宋体"/>
                <w:color w:val="333333"/>
                <w:kern w:val="0"/>
                <w:sz w:val="24"/>
                <w:szCs w:val="24"/>
              </w:rPr>
            </w:pPr>
            <w:r>
              <w:rPr>
                <w:rFonts w:ascii="Times" w:hAnsi="Times" w:eastAsia="仿宋" w:cs="宋体"/>
                <w:color w:val="333333"/>
                <w:kern w:val="0"/>
                <w:sz w:val="24"/>
                <w:szCs w:val="24"/>
              </w:rPr>
              <w:t>2、</w:t>
            </w:r>
            <w:r>
              <w:rPr>
                <w:rFonts w:hint="eastAsia" w:ascii="Times" w:hAnsi="Times" w:eastAsia="仿宋" w:cs="宋体"/>
                <w:color w:val="333333"/>
                <w:kern w:val="0"/>
                <w:sz w:val="24"/>
                <w:szCs w:val="24"/>
              </w:rPr>
              <w:t>HHF</w:t>
            </w:r>
          </w:p>
        </w:tc>
        <w:tc>
          <w:tcPr>
            <w:tcW w:w="5153"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HHF成立于2</w:t>
            </w:r>
            <w:r>
              <w:rPr>
                <w:rFonts w:ascii="Times" w:hAnsi="Times" w:eastAsia="仿宋" w:cs="宋体"/>
                <w:color w:val="333333"/>
                <w:kern w:val="0"/>
                <w:sz w:val="24"/>
                <w:szCs w:val="24"/>
              </w:rPr>
              <w:t>020</w:t>
            </w:r>
            <w:r>
              <w:rPr>
                <w:rFonts w:hint="eastAsia" w:ascii="Times" w:hAnsi="Times" w:eastAsia="仿宋" w:cs="宋体"/>
                <w:color w:val="333333"/>
                <w:kern w:val="0"/>
                <w:sz w:val="24"/>
                <w:szCs w:val="24"/>
              </w:rPr>
              <w:t>年1月9日，注册于开曼群岛，主要从事投资业务。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1796"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3、</w:t>
            </w:r>
            <w:r>
              <w:rPr>
                <w:rFonts w:ascii="Times" w:hAnsi="Times" w:eastAsia="仿宋" w:cs="宋体"/>
                <w:color w:val="333333"/>
                <w:kern w:val="0"/>
                <w:sz w:val="24"/>
                <w:szCs w:val="24"/>
              </w:rPr>
              <w:t>天津华兴</w:t>
            </w:r>
          </w:p>
        </w:tc>
        <w:tc>
          <w:tcPr>
            <w:tcW w:w="5153"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天津华兴成立于2020年03月20日</w:t>
            </w:r>
            <w:r>
              <w:rPr>
                <w:rFonts w:hint="eastAsia" w:ascii="Times" w:hAnsi="Times" w:eastAsia="仿宋" w:cs="宋体"/>
                <w:color w:val="333333"/>
                <w:kern w:val="0"/>
                <w:sz w:val="24"/>
                <w:szCs w:val="24"/>
                <w:lang w:eastAsia="zh-CN"/>
              </w:rPr>
              <w:t>，是一家</w:t>
            </w:r>
            <w:r>
              <w:rPr>
                <w:rFonts w:hint="eastAsia" w:ascii="Times" w:hAnsi="Times" w:eastAsia="仿宋" w:cs="宋体"/>
                <w:color w:val="333333"/>
                <w:kern w:val="0"/>
                <w:sz w:val="24"/>
                <w:szCs w:val="24"/>
                <w:lang w:val="en-US" w:eastAsia="zh-CN"/>
              </w:rPr>
              <w:t>在中国成立的</w:t>
            </w:r>
            <w:r>
              <w:rPr>
                <w:rFonts w:hint="eastAsia" w:ascii="Times" w:hAnsi="Times" w:eastAsia="仿宋" w:cs="宋体"/>
                <w:color w:val="333333"/>
                <w:kern w:val="0"/>
                <w:sz w:val="24"/>
                <w:szCs w:val="24"/>
                <w:lang w:eastAsia="zh-CN"/>
              </w:rPr>
              <w:t>有限合伙企业</w:t>
            </w:r>
            <w:r>
              <w:rPr>
                <w:rFonts w:hint="eastAsia" w:ascii="Times" w:hAnsi="Times" w:eastAsia="仿宋" w:cs="宋体"/>
                <w:color w:val="333333"/>
                <w:kern w:val="0"/>
                <w:sz w:val="24"/>
                <w:szCs w:val="24"/>
                <w:lang w:val="en-US" w:eastAsia="zh-CN"/>
              </w:rPr>
              <w:t>，其普通执行事务合伙人的最终控制人华兴资本控股有限公司为香港联交所上市公司，在全球和全国范围内从事私募融资、兼并收购、证券承销及发行、证券研究、证券销售与交易、私募股权投资、券商资产管理及其他服务</w:t>
            </w:r>
            <w:r>
              <w:rPr>
                <w:rFonts w:hint="eastAsia" w:ascii="Times" w:hAnsi="Times" w:eastAsia="仿宋" w:cs="宋体"/>
                <w:color w:val="333333"/>
                <w:kern w:val="0"/>
                <w:sz w:val="24"/>
                <w:szCs w:val="24"/>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1796"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4、邵卫星</w:t>
            </w:r>
          </w:p>
        </w:tc>
        <w:tc>
          <w:tcPr>
            <w:tcW w:w="5153"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邵卫星是</w:t>
            </w:r>
            <w:r>
              <w:rPr>
                <w:rFonts w:ascii="Times" w:hAnsi="Times" w:eastAsia="仿宋" w:cs="宋体"/>
                <w:color w:val="333333"/>
                <w:kern w:val="0"/>
                <w:sz w:val="24"/>
                <w:szCs w:val="24"/>
              </w:rPr>
              <w:t>山东冠龙</w:t>
            </w:r>
            <w:r>
              <w:rPr>
                <w:rFonts w:hint="eastAsia" w:ascii="Times" w:hAnsi="Times" w:eastAsia="仿宋" w:cs="宋体"/>
                <w:color w:val="333333"/>
                <w:kern w:val="0"/>
                <w:sz w:val="24"/>
                <w:szCs w:val="24"/>
              </w:rPr>
              <w:t>的创始人及本次交易前山东冠龙的控股股东。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1796"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5、CCL</w:t>
            </w:r>
          </w:p>
        </w:tc>
        <w:tc>
          <w:tcPr>
            <w:tcW w:w="5153" w:type="dxa"/>
            <w:vAlign w:val="center"/>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CCL成立于</w:t>
            </w:r>
            <w:r>
              <w:rPr>
                <w:rFonts w:ascii="Times" w:hAnsi="Times" w:eastAsia="仿宋" w:cs="宋体"/>
                <w:color w:val="333333"/>
                <w:kern w:val="0"/>
                <w:sz w:val="24"/>
                <w:szCs w:val="24"/>
              </w:rPr>
              <w:t>2018</w:t>
            </w:r>
            <w:r>
              <w:rPr>
                <w:rFonts w:hint="eastAsia" w:ascii="Times" w:hAnsi="Times" w:eastAsia="仿宋" w:cs="宋体"/>
                <w:color w:val="333333"/>
                <w:kern w:val="0"/>
                <w:sz w:val="24"/>
                <w:szCs w:val="24"/>
              </w:rPr>
              <w:t>年7月4日，注册于</w:t>
            </w:r>
            <w:r>
              <w:rPr>
                <w:rFonts w:ascii="Times" w:hAnsi="Times" w:eastAsia="仿宋" w:cs="宋体"/>
                <w:color w:val="333333"/>
                <w:kern w:val="0"/>
                <w:sz w:val="24"/>
                <w:szCs w:val="24"/>
              </w:rPr>
              <w:t>英属维尔京群岛</w:t>
            </w:r>
            <w:r>
              <w:rPr>
                <w:rFonts w:hint="eastAsia" w:ascii="Times" w:hAnsi="Times" w:eastAsia="仿宋" w:cs="宋体"/>
                <w:color w:val="333333"/>
                <w:kern w:val="0"/>
                <w:sz w:val="24"/>
                <w:szCs w:val="24"/>
                <w:lang w:val="en-US" w:eastAsia="zh-CN"/>
              </w:rPr>
              <w:t>，主要从事投资业务</w:t>
            </w:r>
            <w:r>
              <w:rPr>
                <w:rFonts w:hint="eastAsia" w:ascii="Times" w:hAnsi="Times" w:eastAsia="仿宋" w:cs="宋体"/>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简易案件理由（可以单选，也可以多选）</w:t>
            </w:r>
          </w:p>
        </w:tc>
        <w:tc>
          <w:tcPr>
            <w:tcW w:w="6949" w:type="dxa"/>
            <w:gridSpan w:val="2"/>
          </w:tcPr>
          <w:p>
            <w:pPr>
              <w:spacing w:line="500" w:lineRule="exact"/>
              <w:rPr>
                <w:rFonts w:ascii="Times" w:hAnsi="Times" w:eastAsia="仿宋" w:cs="宋体"/>
                <w:color w:val="333333"/>
                <w:kern w:val="0"/>
                <w:sz w:val="24"/>
                <w:szCs w:val="24"/>
              </w:rPr>
            </w:pPr>
            <w:r>
              <w:rPr>
                <w:rFonts w:hint="eastAsia" w:ascii="仿宋" w:hAnsi="仿宋" w:eastAsia="仿宋" w:cs="宋体"/>
                <w:color w:val="333333"/>
                <w:kern w:val="0"/>
                <w:sz w:val="24"/>
                <w:szCs w:val="24"/>
              </w:rPr>
              <w:t>□</w:t>
            </w:r>
            <w:r>
              <w:rPr>
                <w:rFonts w:ascii="Times" w:hAnsi="Times" w:eastAsia="仿宋" w:cs="宋体"/>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6949" w:type="dxa"/>
            <w:gridSpan w:val="2"/>
          </w:tcPr>
          <w:p>
            <w:pPr>
              <w:spacing w:line="500" w:lineRule="exact"/>
              <w:rPr>
                <w:rFonts w:ascii="Times" w:hAnsi="Times" w:eastAsia="仿宋" w:cs="宋体"/>
                <w:color w:val="333333"/>
                <w:kern w:val="0"/>
                <w:sz w:val="24"/>
                <w:szCs w:val="24"/>
              </w:rPr>
            </w:pPr>
            <w:r>
              <w:rPr>
                <w:rFonts w:hint="eastAsia" w:ascii="仿宋" w:hAnsi="仿宋" w:eastAsia="仿宋" w:cs="宋体"/>
                <w:color w:val="333333"/>
                <w:kern w:val="0"/>
                <w:sz w:val="24"/>
                <w:szCs w:val="24"/>
              </w:rPr>
              <w:t>□</w:t>
            </w:r>
            <w:r>
              <w:rPr>
                <w:rFonts w:ascii="Times" w:hAnsi="Times" w:eastAsia="仿宋" w:cs="宋体"/>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6949" w:type="dxa"/>
            <w:gridSpan w:val="2"/>
          </w:tcPr>
          <w:p>
            <w:pPr>
              <w:spacing w:line="500" w:lineRule="exact"/>
              <w:rPr>
                <w:rFonts w:ascii="Times" w:hAnsi="Times" w:eastAsia="仿宋" w:cs="宋体"/>
                <w:color w:val="333333"/>
                <w:kern w:val="0"/>
                <w:sz w:val="24"/>
                <w:szCs w:val="24"/>
              </w:rPr>
            </w:pPr>
            <w:r>
              <w:rPr>
                <w:rFonts w:ascii="Times" w:hAnsi="Times" w:eastAsia="仿宋" w:cs="宋体"/>
                <w:color w:val="333333"/>
                <w:kern w:val="0"/>
                <w:sz w:val="24"/>
                <w:szCs w:val="24"/>
              </w:rPr>
              <w:sym w:font="Wingdings" w:char="F0FE"/>
            </w:r>
            <w:r>
              <w:rPr>
                <w:rFonts w:ascii="Times" w:hAnsi="Times" w:eastAsia="仿宋" w:cs="宋体"/>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6949" w:type="dxa"/>
            <w:gridSpan w:val="2"/>
          </w:tcPr>
          <w:p>
            <w:pPr>
              <w:spacing w:line="500" w:lineRule="exact"/>
              <w:rPr>
                <w:rFonts w:ascii="Times" w:hAnsi="Times" w:eastAsia="仿宋" w:cs="宋体"/>
                <w:color w:val="333333"/>
                <w:kern w:val="0"/>
                <w:sz w:val="24"/>
                <w:szCs w:val="24"/>
              </w:rPr>
            </w:pPr>
            <w:r>
              <w:rPr>
                <w:rFonts w:hint="eastAsia" w:ascii="仿宋" w:hAnsi="仿宋" w:eastAsia="仿宋" w:cs="宋体"/>
                <w:color w:val="333333"/>
                <w:kern w:val="0"/>
                <w:sz w:val="24"/>
                <w:szCs w:val="24"/>
              </w:rPr>
              <w:t>□</w:t>
            </w:r>
            <w:r>
              <w:rPr>
                <w:rFonts w:ascii="Times" w:hAnsi="Times" w:eastAsia="仿宋" w:cs="宋体"/>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6949" w:type="dxa"/>
            <w:gridSpan w:val="2"/>
          </w:tcPr>
          <w:p>
            <w:pPr>
              <w:spacing w:line="500" w:lineRule="exact"/>
              <w:rPr>
                <w:rFonts w:ascii="Times" w:hAnsi="Times" w:eastAsia="仿宋" w:cs="宋体"/>
                <w:color w:val="333333"/>
                <w:kern w:val="0"/>
                <w:sz w:val="24"/>
                <w:szCs w:val="24"/>
              </w:rPr>
            </w:pPr>
            <w:r>
              <w:rPr>
                <w:rFonts w:hint="eastAsia" w:ascii="仿宋" w:hAnsi="仿宋" w:eastAsia="仿宋" w:cs="宋体"/>
                <w:color w:val="333333"/>
                <w:kern w:val="0"/>
                <w:sz w:val="24"/>
                <w:szCs w:val="24"/>
              </w:rPr>
              <w:t>□</w:t>
            </w:r>
            <w:r>
              <w:rPr>
                <w:rFonts w:ascii="Times" w:hAnsi="Times" w:eastAsia="仿宋" w:cs="宋体"/>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Times" w:hAnsi="Times" w:eastAsia="仿宋" w:cs="宋体"/>
                <w:color w:val="333333"/>
                <w:kern w:val="0"/>
                <w:sz w:val="24"/>
                <w:szCs w:val="24"/>
              </w:rPr>
            </w:pPr>
          </w:p>
        </w:tc>
        <w:tc>
          <w:tcPr>
            <w:tcW w:w="6949" w:type="dxa"/>
            <w:gridSpan w:val="2"/>
          </w:tcPr>
          <w:p>
            <w:pPr>
              <w:spacing w:line="500" w:lineRule="exact"/>
              <w:rPr>
                <w:rFonts w:ascii="Times" w:hAnsi="Times" w:eastAsia="仿宋" w:cs="宋体"/>
                <w:color w:val="333333"/>
                <w:kern w:val="0"/>
                <w:sz w:val="24"/>
                <w:szCs w:val="24"/>
              </w:rPr>
            </w:pPr>
            <w:r>
              <w:rPr>
                <w:rFonts w:hint="eastAsia" w:ascii="仿宋" w:hAnsi="仿宋" w:eastAsia="仿宋" w:cs="宋体"/>
                <w:color w:val="333333"/>
                <w:kern w:val="0"/>
                <w:sz w:val="24"/>
                <w:szCs w:val="24"/>
              </w:rPr>
              <w:t>□</w:t>
            </w:r>
            <w:r>
              <w:rPr>
                <w:rFonts w:ascii="Times" w:hAnsi="Times" w:eastAsia="仿宋" w:cs="宋体"/>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Times" w:hAnsi="Times" w:eastAsia="仿宋" w:cs="宋体"/>
                <w:color w:val="333333"/>
                <w:kern w:val="0"/>
                <w:sz w:val="24"/>
                <w:szCs w:val="24"/>
              </w:rPr>
            </w:pPr>
            <w:r>
              <w:rPr>
                <w:rFonts w:ascii="Times" w:hAnsi="Times" w:eastAsia="仿宋" w:cs="宋体"/>
                <w:color w:val="333333"/>
                <w:kern w:val="0"/>
                <w:sz w:val="24"/>
                <w:szCs w:val="24"/>
              </w:rPr>
              <w:t>备注</w:t>
            </w:r>
          </w:p>
        </w:tc>
        <w:tc>
          <w:tcPr>
            <w:tcW w:w="6949" w:type="dxa"/>
            <w:gridSpan w:val="2"/>
          </w:tcPr>
          <w:p>
            <w:pPr>
              <w:spacing w:line="500" w:lineRule="exact"/>
              <w:rPr>
                <w:rFonts w:ascii="Times" w:hAnsi="Times" w:eastAsia="仿宋" w:cs="宋体"/>
                <w:color w:val="333333"/>
                <w:kern w:val="0"/>
                <w:sz w:val="24"/>
                <w:szCs w:val="24"/>
              </w:rPr>
            </w:pPr>
            <w:r>
              <w:rPr>
                <w:rFonts w:hint="eastAsia" w:ascii="Times" w:hAnsi="Times" w:eastAsia="仿宋" w:cs="宋体"/>
                <w:color w:val="333333"/>
                <w:kern w:val="0"/>
                <w:sz w:val="24"/>
                <w:szCs w:val="24"/>
              </w:rPr>
              <w:t>相关市场界定及市场份额：</w:t>
            </w:r>
          </w:p>
          <w:p>
            <w:pPr>
              <w:pStyle w:val="11"/>
              <w:numPr>
                <w:ilvl w:val="0"/>
                <w:numId w:val="1"/>
              </w:numPr>
              <w:spacing w:line="500" w:lineRule="exact"/>
              <w:ind w:firstLineChars="0"/>
              <w:rPr>
                <w:rFonts w:ascii="Times" w:hAnsi="Times" w:eastAsia="仿宋" w:cs="宋体"/>
                <w:color w:val="333333"/>
                <w:kern w:val="0"/>
                <w:sz w:val="24"/>
                <w:szCs w:val="24"/>
              </w:rPr>
            </w:pPr>
            <w:r>
              <w:rPr>
                <w:rFonts w:hint="eastAsia" w:ascii="Times" w:hAnsi="Times" w:eastAsia="仿宋" w:cs="宋体"/>
                <w:color w:val="333333"/>
                <w:kern w:val="0"/>
                <w:sz w:val="24"/>
                <w:szCs w:val="24"/>
              </w:rPr>
              <w:t>全球</w:t>
            </w:r>
            <w:bookmarkStart w:id="0" w:name="OLE_LINK5"/>
            <w:bookmarkStart w:id="1" w:name="OLE_LINK6"/>
            <w:r>
              <w:rPr>
                <w:rFonts w:hint="eastAsia" w:ascii="Times" w:hAnsi="Times" w:eastAsia="仿宋" w:cs="宋体"/>
                <w:color w:val="333333"/>
                <w:kern w:val="0"/>
                <w:sz w:val="24"/>
                <w:szCs w:val="24"/>
              </w:rPr>
              <w:t>脊柱内植入物手术系统</w:t>
            </w:r>
            <w:bookmarkEnd w:id="0"/>
            <w:bookmarkEnd w:id="1"/>
            <w:r>
              <w:rPr>
                <w:rFonts w:hint="eastAsia" w:ascii="Times" w:hAnsi="Times" w:eastAsia="仿宋" w:cs="宋体"/>
                <w:color w:val="333333"/>
                <w:kern w:val="0"/>
                <w:sz w:val="24"/>
                <w:szCs w:val="24"/>
              </w:rPr>
              <w:t>市场</w:t>
            </w:r>
          </w:p>
          <w:p>
            <w:pPr>
              <w:pStyle w:val="11"/>
              <w:numPr>
                <w:ilvl w:val="0"/>
                <w:numId w:val="2"/>
              </w:numPr>
              <w:spacing w:line="500" w:lineRule="exact"/>
              <w:ind w:firstLineChars="0"/>
              <w:rPr>
                <w:rFonts w:ascii="Times" w:hAnsi="Times" w:eastAsia="仿宋" w:cs="宋体"/>
                <w:color w:val="333333"/>
                <w:kern w:val="0"/>
                <w:sz w:val="24"/>
                <w:szCs w:val="24"/>
              </w:rPr>
            </w:pPr>
            <w:r>
              <w:rPr>
                <w:rFonts w:hint="eastAsia" w:ascii="Times" w:hAnsi="Times" w:eastAsia="仿宋" w:cs="宋体"/>
                <w:color w:val="333333"/>
                <w:kern w:val="0"/>
                <w:sz w:val="24"/>
                <w:szCs w:val="24"/>
              </w:rPr>
              <w:t>山东冠龙：[0%-5%]</w:t>
            </w:r>
          </w:p>
          <w:p>
            <w:pPr>
              <w:pStyle w:val="11"/>
              <w:numPr>
                <w:ilvl w:val="0"/>
                <w:numId w:val="2"/>
              </w:numPr>
              <w:spacing w:line="500" w:lineRule="exact"/>
              <w:ind w:firstLineChars="0"/>
              <w:rPr>
                <w:rFonts w:ascii="Times" w:hAnsi="Times" w:eastAsia="仿宋" w:cs="宋体"/>
                <w:color w:val="333333"/>
                <w:kern w:val="0"/>
                <w:sz w:val="24"/>
                <w:szCs w:val="24"/>
              </w:rPr>
            </w:pPr>
            <w:r>
              <w:rPr>
                <w:rFonts w:hint="eastAsia" w:ascii="Times" w:hAnsi="Times" w:eastAsia="仿宋" w:cs="宋体"/>
                <w:color w:val="333333"/>
                <w:kern w:val="0"/>
                <w:sz w:val="24"/>
                <w:szCs w:val="24"/>
              </w:rPr>
              <w:t>收购方：0%</w:t>
            </w:r>
          </w:p>
        </w:tc>
      </w:tr>
    </w:tbl>
    <w:p>
      <w:pPr>
        <w:snapToGrid w:val="0"/>
        <w:spacing w:line="240" w:lineRule="exact"/>
        <w:jc w:val="left"/>
        <w:rPr>
          <w:rFonts w:ascii="Times" w:hAnsi="Times" w:eastAsia="楷体_GB2312"/>
          <w:sz w:val="24"/>
          <w:szCs w:val="24"/>
        </w:rPr>
      </w:pPr>
    </w:p>
    <w:p>
      <w:pPr>
        <w:snapToGrid w:val="0"/>
        <w:spacing w:line="240" w:lineRule="exact"/>
        <w:jc w:val="left"/>
        <w:rPr>
          <w:rFonts w:ascii="Times" w:hAnsi="Times" w:eastAsia="方正仿宋_GBK"/>
          <w:sz w:val="24"/>
          <w:szCs w:val="24"/>
        </w:rPr>
      </w:pPr>
      <w:r>
        <w:rPr>
          <w:rFonts w:ascii="Times" w:hAnsi="Times" w:eastAsia="方正仿宋_GBK"/>
          <w:sz w:val="24"/>
          <w:szCs w:val="24"/>
        </w:rPr>
        <w:t>注解：</w:t>
      </w:r>
    </w:p>
    <w:p>
      <w:pPr>
        <w:snapToGrid w:val="0"/>
        <w:spacing w:line="360" w:lineRule="auto"/>
        <w:ind w:firstLine="480" w:firstLineChars="200"/>
        <w:jc w:val="left"/>
        <w:rPr>
          <w:rFonts w:ascii="Times" w:hAnsi="Times" w:eastAsia="方正仿宋_GBK"/>
          <w:sz w:val="24"/>
          <w:szCs w:val="24"/>
        </w:rPr>
      </w:pPr>
      <w:r>
        <w:rPr>
          <w:rFonts w:ascii="Times" w:hAnsi="Times" w:eastAsia="方正仿宋_GBK"/>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rPr>
          <w:rFonts w:ascii="Times" w:hAnsi="Times" w:eastAsia="方正仿宋_GBK"/>
          <w:sz w:val="28"/>
          <w:szCs w:val="28"/>
        </w:rPr>
      </w:pPr>
      <w:r>
        <w:rPr>
          <w:rFonts w:ascii="Times" w:hAnsi="Times" w:eastAsia="方正仿宋_GBK"/>
          <w:sz w:val="24"/>
          <w:szCs w:val="24"/>
        </w:rPr>
        <w:t>2.申报方申请简易案件的理由是基于第4项、第5项时，无须在备注中说明相关市场和市场份额。</w:t>
      </w:r>
      <w:r>
        <w:rPr>
          <w:rFonts w:ascii="Times" w:hAnsi="Times" w:eastAsia="方正仿宋_GBK"/>
          <w:sz w:val="24"/>
          <w:szCs w:val="24"/>
        </w:rPr>
        <w:br w:type="textWrapping"/>
      </w:r>
      <w:r>
        <w:rPr>
          <w:rFonts w:ascii="Times" w:hAnsi="Times" w:eastAsia="方正仿宋_GBK"/>
          <w:sz w:val="24"/>
          <w:szCs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pPr>
        <w:rPr>
          <w:rFonts w:ascii="Times" w:hAnsi="Times"/>
        </w:rPr>
      </w:pPr>
    </w:p>
    <w:p>
      <w:pPr>
        <w:rPr>
          <w:rFonts w:ascii="Times" w:hAnsi="Time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F27E9"/>
    <w:multiLevelType w:val="multilevel"/>
    <w:tmpl w:val="471F27E9"/>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6DDA1215"/>
    <w:multiLevelType w:val="multilevel"/>
    <w:tmpl w:val="6DDA1215"/>
    <w:lvl w:ilvl="0" w:tentative="0">
      <w:start w:val="1"/>
      <w:numFmt w:val="bullet"/>
      <w:lvlText w:val="-"/>
      <w:lvlJc w:val="left"/>
      <w:pPr>
        <w:ind w:left="360" w:hanging="360"/>
      </w:pPr>
      <w:rPr>
        <w:rFonts w:hint="default" w:ascii="Times" w:hAnsi="Times" w:eastAsia="仿宋"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DF"/>
    <w:rsid w:val="00037065"/>
    <w:rsid w:val="000D7EBA"/>
    <w:rsid w:val="001164CD"/>
    <w:rsid w:val="00155717"/>
    <w:rsid w:val="001837A3"/>
    <w:rsid w:val="002B5993"/>
    <w:rsid w:val="003C0AEB"/>
    <w:rsid w:val="004557B1"/>
    <w:rsid w:val="004D5A68"/>
    <w:rsid w:val="004F6C87"/>
    <w:rsid w:val="004F7688"/>
    <w:rsid w:val="00585994"/>
    <w:rsid w:val="00632522"/>
    <w:rsid w:val="006467D8"/>
    <w:rsid w:val="006A531B"/>
    <w:rsid w:val="006F7693"/>
    <w:rsid w:val="00710140"/>
    <w:rsid w:val="007F2275"/>
    <w:rsid w:val="00915F0F"/>
    <w:rsid w:val="009532DF"/>
    <w:rsid w:val="00997019"/>
    <w:rsid w:val="009A0272"/>
    <w:rsid w:val="009A5029"/>
    <w:rsid w:val="009D38D5"/>
    <w:rsid w:val="009E1EAF"/>
    <w:rsid w:val="00A53F26"/>
    <w:rsid w:val="00AA0CC5"/>
    <w:rsid w:val="00B055F5"/>
    <w:rsid w:val="00B16AFE"/>
    <w:rsid w:val="00B65DD5"/>
    <w:rsid w:val="00BD10B6"/>
    <w:rsid w:val="00BE2F60"/>
    <w:rsid w:val="00BF77B3"/>
    <w:rsid w:val="00C07076"/>
    <w:rsid w:val="00CB00DF"/>
    <w:rsid w:val="00D73C72"/>
    <w:rsid w:val="00E0592B"/>
    <w:rsid w:val="00E31738"/>
    <w:rsid w:val="00E86786"/>
    <w:rsid w:val="00ED2F80"/>
    <w:rsid w:val="00F1624E"/>
    <w:rsid w:val="00F32F8A"/>
    <w:rsid w:val="00F810AA"/>
    <w:rsid w:val="00FB43EC"/>
    <w:rsid w:val="00FB6B40"/>
    <w:rsid w:val="0ADF64C3"/>
    <w:rsid w:val="0FCB4B5C"/>
    <w:rsid w:val="2D9C5E6B"/>
    <w:rsid w:val="3D5578CE"/>
    <w:rsid w:val="4A8F304F"/>
    <w:rsid w:val="4F82473F"/>
    <w:rsid w:val="65A7259A"/>
    <w:rsid w:val="666C4553"/>
    <w:rsid w:val="68B25591"/>
    <w:rsid w:val="75F72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0"/>
    <w:semiHidden/>
    <w:unhideWhenUsed/>
    <w:uiPriority w:val="99"/>
    <w:rPr>
      <w:rFonts w:ascii="宋体"/>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rFonts w:ascii="宋体"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字符"/>
    <w:basedOn w:val="8"/>
    <w:link w:val="5"/>
    <w:uiPriority w:val="99"/>
    <w:rPr>
      <w:rFonts w:ascii="Calibri" w:hAnsi="Calibri" w:eastAsia="宋体" w:cs="Times New Roman"/>
      <w:kern w:val="2"/>
      <w:sz w:val="18"/>
      <w:szCs w:val="18"/>
    </w:rPr>
  </w:style>
  <w:style w:type="character" w:customStyle="1" w:styleId="13">
    <w:name w:val="页脚 字符"/>
    <w:basedOn w:val="8"/>
    <w:link w:val="4"/>
    <w:qFormat/>
    <w:uiPriority w:val="99"/>
    <w:rPr>
      <w:rFonts w:ascii="Calibri" w:hAnsi="Calibri" w:eastAsia="宋体" w:cs="Times New Roman"/>
      <w:kern w:val="2"/>
      <w:sz w:val="18"/>
      <w:szCs w:val="18"/>
    </w:rPr>
  </w:style>
  <w:style w:type="character" w:customStyle="1" w:styleId="14">
    <w:name w:val="批注文字 字符"/>
    <w:basedOn w:val="8"/>
    <w:link w:val="2"/>
    <w:semiHidden/>
    <w:qFormat/>
    <w:uiPriority w:val="99"/>
    <w:rPr>
      <w:rFonts w:ascii="Calibri" w:hAnsi="Calibri" w:eastAsia="宋体" w:cs="Times New Roman"/>
      <w:kern w:val="2"/>
      <w:sz w:val="21"/>
      <w:szCs w:val="22"/>
    </w:rPr>
  </w:style>
  <w:style w:type="character" w:customStyle="1" w:styleId="15">
    <w:name w:val="批注主题 字符"/>
    <w:basedOn w:val="14"/>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1092</Characters>
  <Lines>9</Lines>
  <Paragraphs>2</Paragraphs>
  <TotalTime>1</TotalTime>
  <ScaleCrop>false</ScaleCrop>
  <LinksUpToDate>false</LinksUpToDate>
  <CharactersWithSpaces>1281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2018-09-29T02:33:00Z</dcterms:created>
  <dc:creator>陈媚</dc:creator>
  <cp:lastModifiedBy>TY</cp:lastModifiedBy>
  <dcterms:modified xsi:type="dcterms:W3CDTF">2020-07-08T06:16:19Z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