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kern w:val="2"/>
          <w:sz w:val="32"/>
          <w:szCs w:val="32"/>
          <w:lang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eastAsia="方正小标宋简体"/>
          <w:kern w:val="2"/>
          <w:sz w:val="44"/>
          <w:szCs w:val="44"/>
        </w:rPr>
      </w:pPr>
      <w:r>
        <w:rPr>
          <w:rFonts w:eastAsia="方正小标宋简体"/>
          <w:kern w:val="2"/>
          <w:sz w:val="44"/>
          <w:szCs w:val="44"/>
        </w:rPr>
        <w:t>关于英飞凌科技公司收购赛普拉斯半导体公司股权案的附加限制性条件</w:t>
      </w:r>
      <w:r>
        <w:rPr>
          <w:rFonts w:hint="eastAsia" w:eastAsia="方正小标宋简体"/>
          <w:kern w:val="2"/>
          <w:sz w:val="44"/>
          <w:szCs w:val="44"/>
        </w:rPr>
        <w:t>承诺</w:t>
      </w:r>
      <w:r>
        <w:rPr>
          <w:rFonts w:eastAsia="方正小标宋简体"/>
          <w:kern w:val="2"/>
          <w:sz w:val="44"/>
          <w:szCs w:val="44"/>
        </w:rPr>
        <w:t>方案</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eastAsia="仿宋_GB2312"/>
          <w:kern w:val="2"/>
          <w:sz w:val="32"/>
          <w:szCs w:val="32"/>
        </w:rPr>
      </w:pPr>
      <w:r>
        <w:rPr>
          <w:rFonts w:hint="eastAsia" w:eastAsia="仿宋_GB2312"/>
          <w:kern w:val="2"/>
          <w:sz w:val="32"/>
          <w:szCs w:val="32"/>
        </w:rPr>
        <w:t>2020</w:t>
      </w:r>
      <w:r>
        <w:rPr>
          <w:rFonts w:eastAsia="仿宋_GB2312"/>
          <w:kern w:val="2"/>
          <w:sz w:val="32"/>
          <w:szCs w:val="32"/>
        </w:rPr>
        <w:t>年</w:t>
      </w:r>
      <w:r>
        <w:rPr>
          <w:rFonts w:hint="eastAsia" w:eastAsia="仿宋_GB2312"/>
          <w:kern w:val="2"/>
          <w:sz w:val="32"/>
          <w:szCs w:val="32"/>
        </w:rPr>
        <w:t>3月27日</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eastAsia="仿宋"/>
        </w:rPr>
      </w:pPr>
    </w:p>
    <w:p>
      <w:pPr>
        <w:keepNext w:val="0"/>
        <w:keepLines w:val="0"/>
        <w:pageBreakBefore w:val="0"/>
        <w:widowControl w:val="0"/>
        <w:kinsoku/>
        <w:wordWrap/>
        <w:overflowPunct/>
        <w:topLinePunct w:val="0"/>
        <w:autoSpaceDE/>
        <w:autoSpaceDN/>
        <w:bidi w:val="0"/>
        <w:adjustRightInd/>
        <w:snapToGrid/>
        <w:spacing w:line="580" w:lineRule="exact"/>
        <w:ind w:firstLine="629"/>
        <w:jc w:val="both"/>
        <w:textAlignment w:val="auto"/>
        <w:outlineLvl w:val="9"/>
        <w:rPr>
          <w:rFonts w:eastAsia="仿宋_GB2312"/>
          <w:kern w:val="2"/>
          <w:sz w:val="32"/>
          <w:szCs w:val="32"/>
        </w:rPr>
      </w:pPr>
      <w:r>
        <w:rPr>
          <w:rFonts w:eastAsia="仿宋_GB2312"/>
          <w:kern w:val="2"/>
          <w:sz w:val="32"/>
          <w:szCs w:val="32"/>
        </w:rPr>
        <w:t>根据《中华人民共和国反垄断法》《关于经营者集中附加限制性条件的规定（试行）》及其他相关法规和规定</w:t>
      </w:r>
      <w:bookmarkStart w:id="0" w:name="_GoBack"/>
      <w:bookmarkEnd w:id="0"/>
      <w:r>
        <w:rPr>
          <w:rFonts w:eastAsia="仿宋_GB2312"/>
          <w:kern w:val="2"/>
          <w:sz w:val="32"/>
          <w:szCs w:val="32"/>
        </w:rPr>
        <w:t>，英飞凌科技公司（</w:t>
      </w:r>
      <w:r>
        <w:rPr>
          <w:rFonts w:eastAsia="仿宋_GB2312"/>
          <w:b w:val="0"/>
          <w:bCs/>
          <w:kern w:val="2"/>
          <w:sz w:val="32"/>
          <w:szCs w:val="32"/>
        </w:rPr>
        <w:t>英飞凌）和赛普拉斯半导体公司（赛普拉斯）谨此就英飞凌收购赛普拉斯股权案（本次交易）向国家市场监督管理总局（市场监管总局）提交以下限制性条件（限制性条件）</w:t>
      </w:r>
      <w:r>
        <w:rPr>
          <w:rFonts w:hint="eastAsia" w:eastAsia="仿宋_GB2312"/>
          <w:b w:val="0"/>
          <w:bCs/>
          <w:kern w:val="2"/>
          <w:sz w:val="32"/>
          <w:szCs w:val="32"/>
        </w:rPr>
        <w:t>承诺</w:t>
      </w:r>
      <w:r>
        <w:rPr>
          <w:rFonts w:eastAsia="仿宋_GB2312"/>
          <w:b w:val="0"/>
          <w:bCs/>
          <w:kern w:val="2"/>
          <w:sz w:val="32"/>
          <w:szCs w:val="32"/>
        </w:rPr>
        <w:t>方</w:t>
      </w:r>
      <w:r>
        <w:rPr>
          <w:rFonts w:eastAsia="仿宋_GB2312"/>
          <w:kern w:val="2"/>
          <w:sz w:val="32"/>
          <w:szCs w:val="32"/>
        </w:rPr>
        <w:t>案。</w:t>
      </w:r>
    </w:p>
    <w:p>
      <w:pPr>
        <w:keepNext w:val="0"/>
        <w:keepLines w:val="0"/>
        <w:pageBreakBefore w:val="0"/>
        <w:kinsoku/>
        <w:wordWrap/>
        <w:overflowPunct/>
        <w:topLinePunct w:val="0"/>
        <w:autoSpaceDE/>
        <w:autoSpaceDN/>
        <w:bidi w:val="0"/>
        <w:adjustRightInd/>
        <w:snapToGrid/>
        <w:spacing w:line="580" w:lineRule="exact"/>
        <w:jc w:val="both"/>
        <w:textAlignment w:val="auto"/>
        <w:outlineLvl w:val="9"/>
        <w:rPr>
          <w:rFonts w:eastAsia="仿宋"/>
        </w:rPr>
      </w:pPr>
    </w:p>
    <w:p>
      <w:pPr>
        <w:keepNext w:val="0"/>
        <w:keepLines w:val="0"/>
        <w:pageBreakBefore w:val="0"/>
        <w:widowControl w:val="0"/>
        <w:kinsoku/>
        <w:wordWrap/>
        <w:overflowPunct/>
        <w:topLinePunct w:val="0"/>
        <w:autoSpaceDE/>
        <w:autoSpaceDN/>
        <w:bidi w:val="0"/>
        <w:adjustRightInd/>
        <w:snapToGrid/>
        <w:spacing w:line="580" w:lineRule="exact"/>
        <w:ind w:firstLine="629"/>
        <w:jc w:val="center"/>
        <w:textAlignment w:val="auto"/>
        <w:outlineLvl w:val="9"/>
        <w:rPr>
          <w:rFonts w:eastAsia="黑体"/>
          <w:kern w:val="2"/>
          <w:sz w:val="32"/>
          <w:szCs w:val="32"/>
        </w:rPr>
      </w:pPr>
      <w:r>
        <w:rPr>
          <w:rFonts w:eastAsia="黑体"/>
          <w:kern w:val="2"/>
          <w:sz w:val="32"/>
          <w:szCs w:val="32"/>
        </w:rPr>
        <w:t>第一部分 定义</w:t>
      </w:r>
    </w:p>
    <w:p>
      <w:pPr>
        <w:pStyle w:val="8"/>
        <w:keepNext w:val="0"/>
        <w:keepLines w:val="0"/>
        <w:pageBreakBefore w:val="0"/>
        <w:widowControl w:val="0"/>
        <w:kinsoku/>
        <w:wordWrap/>
        <w:overflowPunct/>
        <w:topLinePunct w:val="0"/>
        <w:autoSpaceDE/>
        <w:autoSpaceDN/>
        <w:bidi w:val="0"/>
        <w:adjustRightInd/>
        <w:snapToGrid/>
        <w:spacing w:line="580" w:lineRule="exact"/>
        <w:ind w:left="629"/>
        <w:contextualSpacing w:val="0"/>
        <w:jc w:val="both"/>
        <w:textAlignment w:val="auto"/>
        <w:outlineLvl w:val="9"/>
        <w:rPr>
          <w:rFonts w:ascii="Times New Roman" w:hAnsi="Times New Roman" w:eastAsia="仿宋_GB2312"/>
          <w:kern w:val="2"/>
          <w:sz w:val="32"/>
          <w:szCs w:val="32"/>
          <w:lang w:eastAsia="zh-CN"/>
        </w:rPr>
      </w:pPr>
      <w:r>
        <w:rPr>
          <w:rFonts w:ascii="Times New Roman" w:hAnsi="Times New Roman" w:eastAsia="仿宋_GB2312"/>
          <w:kern w:val="2"/>
          <w:sz w:val="32"/>
          <w:szCs w:val="32"/>
          <w:lang w:eastAsia="zh-CN"/>
        </w:rPr>
        <w:t>就本限制性条件而言，以下术语定义如下：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r>
        <w:rPr>
          <w:rFonts w:hint="eastAsia" w:eastAsia="仿宋_GB2312"/>
          <w:kern w:val="2"/>
          <w:sz w:val="32"/>
          <w:szCs w:val="32"/>
        </w:rPr>
        <w:t>（1）</w:t>
      </w:r>
      <w:r>
        <w:rPr>
          <w:rFonts w:eastAsia="仿宋_GB2312"/>
          <w:kern w:val="2"/>
          <w:sz w:val="32"/>
          <w:szCs w:val="32"/>
        </w:rPr>
        <w:t>英飞凌：英飞凌科技公司是一家根据德国法律成立的公司，其注册地址为德国诺伊比贝尔格（Neubiberg）Am Campeon 1-15 85579。</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r>
        <w:rPr>
          <w:rFonts w:hint="eastAsia" w:eastAsia="仿宋_GB2312"/>
          <w:kern w:val="2"/>
          <w:sz w:val="32"/>
          <w:szCs w:val="32"/>
        </w:rPr>
        <w:t>（2）</w:t>
      </w:r>
      <w:r>
        <w:rPr>
          <w:rFonts w:eastAsia="仿宋_GB2312"/>
          <w:kern w:val="2"/>
          <w:sz w:val="32"/>
          <w:szCs w:val="32"/>
        </w:rPr>
        <w:t>赛普拉斯：赛普拉斯半导体公司是一家根据美国特拉华州法律成立的公司，其注册地址为美国特拉华州纽卡斯尔郡威明顿市桔子街道1209号。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r>
        <w:rPr>
          <w:rFonts w:hint="eastAsia" w:eastAsia="仿宋_GB2312"/>
          <w:kern w:val="2"/>
          <w:sz w:val="32"/>
          <w:szCs w:val="32"/>
        </w:rPr>
        <w:t>（3）关联企业：任何拥有或控制交易一方的企业或其他法人实体、或由交易一方拥有或控制、或与交易一方被共同直接或间接控制超过50%表决权或股权的企业，或能够通过股权、合同或其他方式对企业的管理和政策施加影响的企业或其他法人实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r>
        <w:rPr>
          <w:rFonts w:hint="eastAsia" w:eastAsia="仿宋_GB2312"/>
          <w:kern w:val="2"/>
          <w:sz w:val="32"/>
          <w:szCs w:val="32"/>
        </w:rPr>
        <w:t>（4）</w:t>
      </w:r>
      <w:r>
        <w:rPr>
          <w:rFonts w:eastAsia="仿宋_GB2312"/>
          <w:kern w:val="2"/>
          <w:sz w:val="32"/>
          <w:szCs w:val="32"/>
        </w:rPr>
        <w:t>交易双方：英飞凌、赛普拉斯及各自的关联企业。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r>
        <w:rPr>
          <w:rFonts w:hint="eastAsia" w:eastAsia="仿宋_GB2312"/>
          <w:kern w:val="2"/>
          <w:sz w:val="32"/>
          <w:szCs w:val="32"/>
        </w:rPr>
        <w:t>（5）</w:t>
      </w:r>
      <w:r>
        <w:rPr>
          <w:rFonts w:eastAsia="仿宋_GB2312"/>
          <w:kern w:val="2"/>
          <w:sz w:val="32"/>
          <w:szCs w:val="32"/>
        </w:rPr>
        <w:t>本次交易：英飞凌收购赛普拉斯并取得赛普拉斯单独控制权的交易。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r>
        <w:rPr>
          <w:rFonts w:hint="eastAsia" w:eastAsia="仿宋_GB2312"/>
          <w:kern w:val="2"/>
          <w:sz w:val="32"/>
          <w:szCs w:val="32"/>
        </w:rPr>
        <w:t>（6）</w:t>
      </w:r>
      <w:r>
        <w:rPr>
          <w:rFonts w:eastAsia="仿宋_GB2312"/>
          <w:kern w:val="2"/>
          <w:sz w:val="32"/>
          <w:szCs w:val="32"/>
        </w:rPr>
        <w:t>集中后实体：本次交易后的英飞凌及其关联企业。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r>
        <w:rPr>
          <w:rFonts w:hint="eastAsia" w:eastAsia="仿宋_GB2312"/>
          <w:kern w:val="2"/>
          <w:sz w:val="32"/>
          <w:szCs w:val="32"/>
        </w:rPr>
        <w:t>（7）</w:t>
      </w:r>
      <w:r>
        <w:rPr>
          <w:rFonts w:eastAsia="仿宋_GB2312"/>
          <w:kern w:val="2"/>
          <w:sz w:val="32"/>
          <w:szCs w:val="32"/>
        </w:rPr>
        <w:t>车规级微控制器：</w:t>
      </w:r>
      <w:r>
        <w:rPr>
          <w:rFonts w:hint="eastAsia" w:eastAsia="仿宋_GB2312"/>
          <w:kern w:val="2"/>
          <w:sz w:val="32"/>
          <w:szCs w:val="32"/>
        </w:rPr>
        <w:t>嵌入闪存并</w:t>
      </w:r>
      <w:r>
        <w:rPr>
          <w:rFonts w:eastAsia="仿宋_GB2312"/>
          <w:kern w:val="2"/>
          <w:sz w:val="32"/>
          <w:szCs w:val="32"/>
        </w:rPr>
        <w:t>应用于汽车领域的微控制器</w:t>
      </w:r>
      <w:r>
        <w:rPr>
          <w:rFonts w:hint="eastAsia" w:eastAsia="仿宋_GB2312"/>
          <w:kern w:val="2"/>
          <w:sz w:val="32"/>
          <w:szCs w:val="32"/>
        </w:rPr>
        <w:t>，</w:t>
      </w:r>
      <w:r>
        <w:rPr>
          <w:rFonts w:eastAsia="仿宋_GB2312"/>
          <w:kern w:val="2"/>
          <w:sz w:val="32"/>
          <w:szCs w:val="32"/>
        </w:rPr>
        <w:t>主要作为控制设备。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r>
        <w:rPr>
          <w:rFonts w:hint="eastAsia" w:eastAsia="仿宋_GB2312"/>
          <w:kern w:val="2"/>
          <w:sz w:val="32"/>
          <w:szCs w:val="32"/>
        </w:rPr>
        <w:t>（</w:t>
      </w:r>
      <w:r>
        <w:rPr>
          <w:rFonts w:eastAsia="仿宋_GB2312"/>
          <w:kern w:val="2"/>
          <w:sz w:val="32"/>
          <w:szCs w:val="32"/>
        </w:rPr>
        <w:t>8</w:t>
      </w:r>
      <w:r>
        <w:rPr>
          <w:rFonts w:hint="eastAsia" w:eastAsia="仿宋_GB2312"/>
          <w:kern w:val="2"/>
          <w:sz w:val="32"/>
          <w:szCs w:val="32"/>
        </w:rPr>
        <w:t>）车规级IGBT：车规级IGBT（绝缘栅双极型晶体管）产品是一种包含一个或多个IGBT晶体管（即IGBT芯片）的半导体元件。有多种产品分类：包含一个IGBT芯片的未封装的裸片，包含一个IGBT芯片的IGBT单管，或者包含多个IGBT芯片的IGBT模块。它是电动汽车逆变器的组成部分，在电动汽车逆变器中起到传导电流和控制功率的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r>
        <w:rPr>
          <w:rFonts w:hint="eastAsia" w:eastAsia="仿宋_GB2312"/>
          <w:kern w:val="2"/>
          <w:sz w:val="32"/>
          <w:szCs w:val="32"/>
        </w:rPr>
        <w:t>（</w:t>
      </w:r>
      <w:r>
        <w:rPr>
          <w:rFonts w:eastAsia="仿宋_GB2312"/>
          <w:kern w:val="2"/>
          <w:sz w:val="32"/>
          <w:szCs w:val="32"/>
        </w:rPr>
        <w:t>9</w:t>
      </w:r>
      <w:r>
        <w:rPr>
          <w:rFonts w:hint="eastAsia" w:eastAsia="仿宋_GB2312"/>
          <w:kern w:val="2"/>
          <w:sz w:val="32"/>
          <w:szCs w:val="32"/>
        </w:rPr>
        <w:t>）</w:t>
      </w:r>
      <w:r>
        <w:rPr>
          <w:rFonts w:eastAsia="仿宋_GB2312"/>
          <w:kern w:val="2"/>
          <w:sz w:val="32"/>
          <w:szCs w:val="32"/>
        </w:rPr>
        <w:t>车规级NOR闪存：一种车规级独立闪存存储器，符合AEC-Q100标准，可在设备电源关闭时保留内容，并且能在汽车温度等级范围内可靠工作。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r>
        <w:rPr>
          <w:rFonts w:hint="eastAsia" w:eastAsia="仿宋_GB2312"/>
          <w:kern w:val="2"/>
          <w:sz w:val="32"/>
          <w:szCs w:val="32"/>
        </w:rPr>
        <w:t>（1</w:t>
      </w:r>
      <w:r>
        <w:rPr>
          <w:rFonts w:eastAsia="仿宋_GB2312"/>
          <w:kern w:val="2"/>
          <w:sz w:val="32"/>
          <w:szCs w:val="32"/>
        </w:rPr>
        <w:t>0</w:t>
      </w:r>
      <w:r>
        <w:rPr>
          <w:rFonts w:hint="eastAsia" w:eastAsia="仿宋_GB2312"/>
          <w:kern w:val="2"/>
          <w:sz w:val="32"/>
          <w:szCs w:val="32"/>
        </w:rPr>
        <w:t>）监督受托人：受交易双方委托并经市场监管总局同意，负责对交易双方履行决定所附限制性条件进行</w:t>
      </w:r>
      <w:r>
        <w:rPr>
          <w:rFonts w:eastAsia="仿宋_GB2312"/>
          <w:kern w:val="2"/>
          <w:sz w:val="32"/>
          <w:szCs w:val="32"/>
        </w:rPr>
        <w:t>监督</w:t>
      </w:r>
      <w:r>
        <w:rPr>
          <w:rFonts w:hint="eastAsia" w:eastAsia="仿宋_GB2312"/>
          <w:kern w:val="2"/>
          <w:sz w:val="32"/>
          <w:szCs w:val="32"/>
        </w:rPr>
        <w:t>的自然人、法人或其他组织。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r>
        <w:rPr>
          <w:rFonts w:hint="eastAsia" w:eastAsia="仿宋_GB2312"/>
          <w:kern w:val="2"/>
          <w:sz w:val="32"/>
          <w:szCs w:val="32"/>
        </w:rPr>
        <w:t>（1</w:t>
      </w:r>
      <w:r>
        <w:rPr>
          <w:rFonts w:eastAsia="仿宋_GB2312"/>
          <w:kern w:val="2"/>
          <w:sz w:val="32"/>
          <w:szCs w:val="32"/>
        </w:rPr>
        <w:t>1</w:t>
      </w:r>
      <w:r>
        <w:rPr>
          <w:rFonts w:hint="eastAsia" w:eastAsia="仿宋_GB2312"/>
          <w:kern w:val="2"/>
          <w:sz w:val="32"/>
          <w:szCs w:val="32"/>
        </w:rPr>
        <w:t>）</w:t>
      </w:r>
      <w:r>
        <w:rPr>
          <w:rFonts w:eastAsia="仿宋_GB2312"/>
          <w:kern w:val="2"/>
          <w:sz w:val="32"/>
          <w:szCs w:val="32"/>
        </w:rPr>
        <w:t>中国客户：总部位于中国的</w:t>
      </w:r>
      <w:r>
        <w:rPr>
          <w:rFonts w:hint="eastAsia" w:eastAsia="仿宋_GB2312"/>
          <w:kern w:val="2"/>
          <w:sz w:val="32"/>
          <w:szCs w:val="32"/>
        </w:rPr>
        <w:t>客户</w:t>
      </w:r>
      <w:r>
        <w:rPr>
          <w:rFonts w:eastAsia="仿宋_GB2312"/>
          <w:kern w:val="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r>
        <w:rPr>
          <w:rFonts w:hint="eastAsia" w:eastAsia="仿宋_GB2312"/>
          <w:kern w:val="2"/>
          <w:sz w:val="32"/>
          <w:szCs w:val="32"/>
        </w:rPr>
        <w:t>（1</w:t>
      </w:r>
      <w:r>
        <w:rPr>
          <w:rFonts w:eastAsia="仿宋_GB2312"/>
          <w:kern w:val="2"/>
          <w:sz w:val="32"/>
          <w:szCs w:val="32"/>
        </w:rPr>
        <w:t>2</w:t>
      </w:r>
      <w:r>
        <w:rPr>
          <w:rFonts w:hint="eastAsia" w:eastAsia="仿宋_GB2312"/>
          <w:kern w:val="2"/>
          <w:sz w:val="32"/>
          <w:szCs w:val="32"/>
        </w:rPr>
        <w:t>）</w:t>
      </w:r>
      <w:r>
        <w:rPr>
          <w:rFonts w:eastAsia="仿宋_GB2312"/>
          <w:kern w:val="2"/>
          <w:sz w:val="32"/>
          <w:szCs w:val="32"/>
        </w:rPr>
        <w:t>决定：市场监管总局附加限制性条件批准本次交易的决定。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r>
        <w:rPr>
          <w:rFonts w:hint="eastAsia" w:eastAsia="仿宋_GB2312"/>
          <w:kern w:val="2"/>
          <w:sz w:val="32"/>
          <w:szCs w:val="32"/>
        </w:rPr>
        <w:t>（1</w:t>
      </w:r>
      <w:r>
        <w:rPr>
          <w:rFonts w:eastAsia="仿宋_GB2312"/>
          <w:kern w:val="2"/>
          <w:sz w:val="32"/>
          <w:szCs w:val="32"/>
        </w:rPr>
        <w:t>3</w:t>
      </w:r>
      <w:r>
        <w:rPr>
          <w:rFonts w:hint="eastAsia" w:eastAsia="仿宋_GB2312"/>
          <w:kern w:val="2"/>
          <w:sz w:val="32"/>
          <w:szCs w:val="32"/>
        </w:rPr>
        <w:t>）</w:t>
      </w:r>
      <w:r>
        <w:rPr>
          <w:rFonts w:eastAsia="仿宋_GB2312"/>
          <w:kern w:val="2"/>
          <w:sz w:val="32"/>
          <w:szCs w:val="32"/>
        </w:rPr>
        <w:t>生效日：市场监管总局公告决定的日期。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eastAsia="仿宋_GB2312"/>
          <w:kern w:val="2"/>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eastAsia="黑体"/>
          <w:kern w:val="2"/>
          <w:sz w:val="32"/>
          <w:szCs w:val="32"/>
        </w:rPr>
      </w:pPr>
      <w:r>
        <w:rPr>
          <w:rFonts w:eastAsia="黑体"/>
          <w:kern w:val="2"/>
          <w:sz w:val="32"/>
          <w:szCs w:val="32"/>
        </w:rPr>
        <w:t>第二部分 限制性条件</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r>
        <w:rPr>
          <w:rFonts w:hint="eastAsia" w:eastAsia="仿宋_GB2312" w:cs="Times New Roman"/>
          <w:kern w:val="2"/>
          <w:sz w:val="32"/>
          <w:szCs w:val="32"/>
          <w:lang w:eastAsia="zh-CN"/>
        </w:rPr>
        <w:t>1.</w:t>
      </w:r>
      <w:r>
        <w:rPr>
          <w:rFonts w:eastAsia="仿宋_GB2312" w:cs="Times New Roman"/>
          <w:kern w:val="2"/>
          <w:sz w:val="32"/>
          <w:szCs w:val="32"/>
          <w:lang w:eastAsia="zh-CN"/>
        </w:rPr>
        <w:t>英飞凌、赛普拉斯和集中后实体承诺，</w:t>
      </w:r>
      <w:r>
        <w:rPr>
          <w:rFonts w:hint="eastAsia" w:eastAsia="仿宋_GB2312" w:cs="Times New Roman"/>
          <w:kern w:val="2"/>
          <w:sz w:val="32"/>
          <w:szCs w:val="32"/>
          <w:lang w:eastAsia="zh-CN"/>
        </w:rPr>
        <w:t>对于</w:t>
      </w:r>
      <w:r>
        <w:rPr>
          <w:rFonts w:eastAsia="仿宋_GB2312" w:cs="Times New Roman"/>
          <w:kern w:val="2"/>
          <w:sz w:val="32"/>
          <w:szCs w:val="32"/>
          <w:lang w:eastAsia="zh-CN"/>
        </w:rPr>
        <w:t>中国市场，就（1）车规级NOR闪存和车规级微控制器，（2）车规级 IGBT和车规级微控制器</w:t>
      </w:r>
      <w:r>
        <w:rPr>
          <w:rFonts w:hint="eastAsia" w:eastAsia="仿宋_GB2312" w:cs="Times New Roman"/>
          <w:kern w:val="2"/>
          <w:sz w:val="32"/>
          <w:szCs w:val="32"/>
          <w:lang w:eastAsia="zh-CN"/>
        </w:rPr>
        <w:t>，</w:t>
      </w:r>
      <w:r>
        <w:rPr>
          <w:rFonts w:eastAsia="仿宋_GB2312" w:cs="Times New Roman"/>
          <w:kern w:val="2"/>
          <w:sz w:val="32"/>
          <w:szCs w:val="32"/>
          <w:lang w:eastAsia="zh-CN"/>
        </w:rPr>
        <w:t>没有正当理由，不得进行搭售</w:t>
      </w:r>
      <w:r>
        <w:rPr>
          <w:rFonts w:hint="eastAsia" w:eastAsia="仿宋_GB2312" w:cs="Times New Roman"/>
          <w:kern w:val="2"/>
          <w:sz w:val="32"/>
          <w:szCs w:val="32"/>
          <w:lang w:eastAsia="zh-CN"/>
        </w:rPr>
        <w:t>或在交易时附加其他不合理的交易条件</w:t>
      </w:r>
      <w:r>
        <w:rPr>
          <w:rFonts w:eastAsia="仿宋_GB2312" w:cs="Times New Roman"/>
          <w:kern w:val="2"/>
          <w:sz w:val="32"/>
          <w:szCs w:val="32"/>
          <w:lang w:eastAsia="zh-CN"/>
        </w:rPr>
        <w:t>，以迫使中国客户购买以下产品组合：（1）车规级NOR闪存和车规级微控制器，（2）车规级 IGBT和车规级微控制器</w:t>
      </w:r>
      <w:r>
        <w:rPr>
          <w:rFonts w:hint="eastAsia" w:eastAsia="仿宋_GB2312" w:cs="Times New Roman"/>
          <w:kern w:val="2"/>
          <w:sz w:val="32"/>
          <w:szCs w:val="32"/>
          <w:lang w:eastAsia="zh-CN"/>
        </w:rPr>
        <w:t>；不得</w:t>
      </w:r>
      <w:r>
        <w:rPr>
          <w:rFonts w:eastAsia="仿宋_GB2312" w:cs="Times New Roman"/>
          <w:kern w:val="2"/>
          <w:sz w:val="32"/>
          <w:szCs w:val="32"/>
          <w:lang w:eastAsia="zh-CN"/>
        </w:rPr>
        <w:t>拒绝向中国客户单独</w:t>
      </w:r>
      <w:r>
        <w:rPr>
          <w:rFonts w:hint="eastAsia" w:eastAsia="仿宋_GB2312" w:cs="Times New Roman"/>
          <w:kern w:val="2"/>
          <w:sz w:val="32"/>
          <w:szCs w:val="32"/>
          <w:lang w:eastAsia="zh-CN"/>
        </w:rPr>
        <w:t>供应</w:t>
      </w:r>
      <w:r>
        <w:rPr>
          <w:rFonts w:eastAsia="仿宋_GB2312" w:cs="Times New Roman"/>
          <w:kern w:val="2"/>
          <w:sz w:val="32"/>
          <w:szCs w:val="32"/>
          <w:lang w:eastAsia="zh-CN"/>
        </w:rPr>
        <w:t>上述产品。</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r>
        <w:rPr>
          <w:rFonts w:hint="eastAsia" w:eastAsia="仿宋_GB2312" w:cs="Times New Roman"/>
          <w:kern w:val="2"/>
          <w:sz w:val="32"/>
          <w:szCs w:val="32"/>
          <w:lang w:eastAsia="zh-CN"/>
        </w:rPr>
        <w:t>2.</w:t>
      </w:r>
      <w:r>
        <w:rPr>
          <w:rFonts w:eastAsia="仿宋_GB2312" w:cs="Times New Roman"/>
          <w:kern w:val="2"/>
          <w:sz w:val="32"/>
          <w:szCs w:val="32"/>
          <w:lang w:eastAsia="zh-CN"/>
        </w:rPr>
        <w:t>英飞凌、赛普拉斯和集中后实体承诺，对于中国市场，如果未来（1）车规级 NOR闪存和车规级微控制器</w:t>
      </w:r>
      <w:r>
        <w:rPr>
          <w:rFonts w:hint="eastAsia" w:eastAsia="仿宋_GB2312" w:cs="Times New Roman"/>
          <w:kern w:val="2"/>
          <w:sz w:val="32"/>
          <w:szCs w:val="32"/>
          <w:lang w:eastAsia="zh-CN"/>
        </w:rPr>
        <w:t>（或这两种产品和其他产品）</w:t>
      </w:r>
      <w:r>
        <w:rPr>
          <w:rFonts w:eastAsia="仿宋_GB2312" w:cs="Times New Roman"/>
          <w:kern w:val="2"/>
          <w:sz w:val="32"/>
          <w:szCs w:val="32"/>
          <w:lang w:eastAsia="zh-CN"/>
        </w:rPr>
        <w:t>，</w:t>
      </w:r>
      <w:r>
        <w:rPr>
          <w:rFonts w:hint="eastAsia" w:eastAsia="仿宋_GB2312" w:cs="Times New Roman"/>
          <w:kern w:val="2"/>
          <w:sz w:val="32"/>
          <w:szCs w:val="32"/>
          <w:lang w:eastAsia="zh-CN"/>
        </w:rPr>
        <w:t>或</w:t>
      </w:r>
      <w:r>
        <w:rPr>
          <w:rFonts w:eastAsia="仿宋_GB2312" w:cs="Times New Roman"/>
          <w:kern w:val="2"/>
          <w:sz w:val="32"/>
          <w:szCs w:val="32"/>
          <w:lang w:eastAsia="zh-CN"/>
        </w:rPr>
        <w:t>（2）车规级 IGBT和车规级微控制器</w:t>
      </w:r>
      <w:r>
        <w:rPr>
          <w:rFonts w:hint="eastAsia" w:eastAsia="仿宋_GB2312" w:cs="Times New Roman"/>
          <w:kern w:val="2"/>
          <w:sz w:val="32"/>
          <w:szCs w:val="32"/>
          <w:lang w:eastAsia="zh-CN"/>
        </w:rPr>
        <w:t>（或这两种产品和其他产品），在技术上</w:t>
      </w:r>
      <w:r>
        <w:rPr>
          <w:rFonts w:eastAsia="仿宋_GB2312" w:cs="Times New Roman"/>
          <w:kern w:val="2"/>
          <w:sz w:val="32"/>
          <w:szCs w:val="32"/>
          <w:lang w:eastAsia="zh-CN"/>
        </w:rPr>
        <w:t>可以</w:t>
      </w:r>
      <w:r>
        <w:rPr>
          <w:rFonts w:hint="eastAsia" w:eastAsia="仿宋_GB2312" w:cs="Times New Roman"/>
          <w:kern w:val="2"/>
          <w:sz w:val="32"/>
          <w:szCs w:val="32"/>
          <w:lang w:eastAsia="zh-CN"/>
        </w:rPr>
        <w:t>集成</w:t>
      </w:r>
      <w:r>
        <w:rPr>
          <w:rFonts w:eastAsia="仿宋_GB2312" w:cs="Times New Roman"/>
          <w:kern w:val="2"/>
          <w:sz w:val="32"/>
          <w:szCs w:val="32"/>
          <w:lang w:eastAsia="zh-CN"/>
        </w:rPr>
        <w:t>为一个产品或解决方案，应继续保证车规级微控制器</w:t>
      </w:r>
      <w:r>
        <w:rPr>
          <w:rFonts w:hint="eastAsia" w:eastAsia="仿宋_GB2312" w:cs="Times New Roman"/>
          <w:kern w:val="2"/>
          <w:sz w:val="32"/>
          <w:szCs w:val="32"/>
          <w:lang w:eastAsia="zh-CN"/>
        </w:rPr>
        <w:t>、</w:t>
      </w:r>
      <w:r>
        <w:rPr>
          <w:rFonts w:eastAsia="仿宋_GB2312" w:cs="Times New Roman"/>
          <w:kern w:val="2"/>
          <w:sz w:val="32"/>
          <w:szCs w:val="32"/>
          <w:lang w:eastAsia="zh-CN"/>
        </w:rPr>
        <w:t>车规级</w:t>
      </w:r>
      <w:r>
        <w:rPr>
          <w:rFonts w:hint="eastAsia" w:eastAsia="仿宋_GB2312" w:cs="Times New Roman"/>
          <w:kern w:val="2"/>
          <w:sz w:val="32"/>
          <w:szCs w:val="32"/>
          <w:lang w:eastAsia="zh-CN"/>
        </w:rPr>
        <w:t>NOR闪存和车规级IGBT</w:t>
      </w:r>
      <w:r>
        <w:rPr>
          <w:rFonts w:eastAsia="仿宋_GB2312" w:cs="Times New Roman"/>
          <w:kern w:val="2"/>
          <w:sz w:val="32"/>
          <w:szCs w:val="32"/>
          <w:lang w:eastAsia="zh-CN"/>
        </w:rPr>
        <w:t>可单独供应给中国客户</w:t>
      </w:r>
      <w:r>
        <w:rPr>
          <w:rFonts w:hint="eastAsia" w:eastAsia="仿宋_GB2312" w:cs="Times New Roman"/>
          <w:kern w:val="2"/>
          <w:sz w:val="32"/>
          <w:szCs w:val="32"/>
          <w:lang w:eastAsia="zh-CN"/>
        </w:rPr>
        <w:t>。</w:t>
      </w:r>
      <w:r>
        <w:rPr>
          <w:rFonts w:eastAsia="仿宋_GB2312" w:cs="Times New Roman"/>
          <w:kern w:val="2"/>
          <w:sz w:val="32"/>
          <w:szCs w:val="32"/>
          <w:lang w:eastAsia="zh-CN"/>
        </w:rPr>
        <w:t>中国客户有权自主选择单独购买上述产品或购买未来开发的集成产品或解决方案。</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r>
        <w:rPr>
          <w:rFonts w:hint="eastAsia" w:eastAsia="仿宋_GB2312" w:cs="Times New Roman"/>
          <w:kern w:val="2"/>
          <w:sz w:val="32"/>
          <w:szCs w:val="32"/>
          <w:lang w:eastAsia="zh-CN"/>
        </w:rPr>
        <w:t>3. 英飞凌、赛普拉斯和集中后实体应继续保证向中国客户销售的赛普拉斯车规级NOR闪存符合JEDEC 固态技术协会制定的行业接口标准及其他行业普遍认可的接口标准，以使符合标准的第三方车规级微控制器与赛普拉斯的车规级NOR闪存相兼容。</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r>
        <w:rPr>
          <w:rFonts w:eastAsia="仿宋_GB2312" w:cs="Times New Roman"/>
          <w:kern w:val="2"/>
          <w:sz w:val="32"/>
          <w:szCs w:val="32"/>
          <w:lang w:eastAsia="zh-CN"/>
        </w:rPr>
        <w:t>4</w:t>
      </w:r>
      <w:r>
        <w:rPr>
          <w:rFonts w:hint="eastAsia" w:eastAsia="仿宋_GB2312" w:cs="Times New Roman"/>
          <w:kern w:val="2"/>
          <w:sz w:val="32"/>
          <w:szCs w:val="32"/>
          <w:lang w:eastAsia="zh-CN"/>
        </w:rPr>
        <w:t>. 英飞凌、赛普拉斯和集中后实体应按照公平、合理、无歧视的原则，继续向中国客户供应车规级微控制器、车规级</w:t>
      </w:r>
      <w:r>
        <w:rPr>
          <w:rFonts w:eastAsia="仿宋_GB2312" w:cs="Times New Roman"/>
          <w:kern w:val="2"/>
          <w:sz w:val="32"/>
          <w:szCs w:val="32"/>
          <w:lang w:eastAsia="zh-CN"/>
        </w:rPr>
        <w:t>NOR</w:t>
      </w:r>
      <w:r>
        <w:rPr>
          <w:rFonts w:hint="eastAsia" w:eastAsia="仿宋_GB2312" w:cs="Times New Roman"/>
          <w:kern w:val="2"/>
          <w:sz w:val="32"/>
          <w:szCs w:val="32"/>
          <w:lang w:eastAsia="zh-CN"/>
        </w:rPr>
        <w:t>闪存和车规级</w:t>
      </w:r>
      <w:r>
        <w:rPr>
          <w:rFonts w:eastAsia="仿宋_GB2312" w:cs="Times New Roman"/>
          <w:kern w:val="2"/>
          <w:sz w:val="32"/>
          <w:szCs w:val="32"/>
          <w:lang w:eastAsia="zh-CN"/>
        </w:rPr>
        <w:t>IGBT</w:t>
      </w:r>
      <w:r>
        <w:rPr>
          <w:rFonts w:hint="eastAsia" w:eastAsia="仿宋_GB2312" w:cs="Times New Roman"/>
          <w:kern w:val="2"/>
          <w:sz w:val="32"/>
          <w:szCs w:val="32"/>
          <w:lang w:eastAsia="zh-CN"/>
        </w:rPr>
        <w:t>，包括但不限于：</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r>
        <w:rPr>
          <w:rFonts w:hint="eastAsia" w:eastAsia="仿宋_GB2312" w:cs="Times New Roman"/>
          <w:kern w:val="2"/>
          <w:sz w:val="32"/>
          <w:szCs w:val="32"/>
          <w:lang w:eastAsia="zh-CN"/>
        </w:rPr>
        <w:t>（1）在实质条件相同的情况下，不得在价格、交货期、售后服务等交易条件上对中国客户实行差别待遇；</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r>
        <w:rPr>
          <w:rFonts w:hint="eastAsia" w:eastAsia="仿宋_GB2312" w:cs="Times New Roman"/>
          <w:kern w:val="2"/>
          <w:sz w:val="32"/>
          <w:szCs w:val="32"/>
          <w:lang w:eastAsia="zh-CN"/>
        </w:rPr>
        <w:t>（2）不得拒绝、限制或拖延对中国客户提供上述产品和服务，或在交易时附加其他不合理的交易条件；</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r>
        <w:rPr>
          <w:rFonts w:hint="eastAsia" w:eastAsia="仿宋_GB2312" w:cs="Times New Roman"/>
          <w:kern w:val="2"/>
          <w:sz w:val="32"/>
          <w:szCs w:val="32"/>
          <w:lang w:eastAsia="zh-CN"/>
        </w:rPr>
        <w:t>（3）对中国客户的服务水平不得在任何方面低于本次交易前的服务水平。</w:t>
      </w:r>
    </w:p>
    <w:p>
      <w:pPr>
        <w:keepNext w:val="0"/>
        <w:keepLines w:val="0"/>
        <w:pageBreakBefore w:val="0"/>
        <w:kinsoku/>
        <w:wordWrap/>
        <w:overflowPunct/>
        <w:topLinePunct w:val="0"/>
        <w:autoSpaceDE/>
        <w:autoSpaceDN/>
        <w:bidi w:val="0"/>
        <w:adjustRightInd/>
        <w:snapToGrid/>
        <w:spacing w:line="580" w:lineRule="exact"/>
        <w:jc w:val="both"/>
        <w:textAlignment w:val="auto"/>
        <w:outlineLvl w:val="9"/>
        <w:rPr>
          <w:rFonts w:eastAsia="仿宋_GB2312"/>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eastAsia="黑体"/>
          <w:kern w:val="2"/>
          <w:sz w:val="32"/>
          <w:szCs w:val="32"/>
        </w:rPr>
      </w:pPr>
      <w:r>
        <w:rPr>
          <w:rFonts w:eastAsia="黑体"/>
          <w:kern w:val="2"/>
          <w:sz w:val="32"/>
          <w:szCs w:val="32"/>
        </w:rPr>
        <w:t>第三部分 报告</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r>
        <w:rPr>
          <w:rFonts w:eastAsia="仿宋_GB2312" w:cs="Times New Roman"/>
          <w:kern w:val="2"/>
          <w:sz w:val="32"/>
          <w:szCs w:val="32"/>
          <w:lang w:eastAsia="zh-CN"/>
        </w:rPr>
        <w:t>5</w:t>
      </w:r>
      <w:r>
        <w:rPr>
          <w:rFonts w:hint="eastAsia" w:eastAsia="仿宋_GB2312" w:cs="Times New Roman"/>
          <w:kern w:val="2"/>
          <w:sz w:val="32"/>
          <w:szCs w:val="32"/>
          <w:lang w:eastAsia="zh-CN"/>
        </w:rPr>
        <w:t>.</w:t>
      </w:r>
      <w:r>
        <w:rPr>
          <w:rFonts w:eastAsia="仿宋_GB2312" w:cs="Times New Roman"/>
          <w:kern w:val="2"/>
          <w:sz w:val="32"/>
          <w:szCs w:val="32"/>
          <w:lang w:eastAsia="zh-CN"/>
        </w:rPr>
        <w:t>自生效日起，英飞凌、赛普拉斯和集中后实体应每年</w:t>
      </w:r>
      <w:r>
        <w:rPr>
          <w:rFonts w:hint="eastAsia" w:eastAsia="仿宋_GB2312" w:cs="Times New Roman"/>
          <w:kern w:val="2"/>
          <w:sz w:val="32"/>
          <w:szCs w:val="32"/>
          <w:lang w:eastAsia="zh-CN"/>
        </w:rPr>
        <w:t>向市场监管总局</w:t>
      </w:r>
      <w:r>
        <w:rPr>
          <w:rFonts w:eastAsia="仿宋_GB2312" w:cs="Times New Roman"/>
          <w:kern w:val="2"/>
          <w:sz w:val="32"/>
          <w:szCs w:val="32"/>
          <w:lang w:eastAsia="zh-CN"/>
        </w:rPr>
        <w:t>报告限制性条件的履行情况，直</w:t>
      </w:r>
      <w:r>
        <w:rPr>
          <w:rFonts w:hint="eastAsia" w:eastAsia="仿宋_GB2312" w:cs="Times New Roman"/>
          <w:kern w:val="2"/>
          <w:sz w:val="32"/>
          <w:szCs w:val="32"/>
          <w:lang w:eastAsia="zh-CN"/>
        </w:rPr>
        <w:t>到</w:t>
      </w:r>
      <w:r>
        <w:rPr>
          <w:rFonts w:eastAsia="仿宋_GB2312" w:cs="Times New Roman"/>
          <w:kern w:val="2"/>
          <w:sz w:val="32"/>
          <w:szCs w:val="32"/>
          <w:lang w:eastAsia="zh-CN"/>
        </w:rPr>
        <w:t>限制性条件终止。</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sz w:val="32"/>
          <w:szCs w:val="32"/>
          <w:lang w:eastAsia="zh-CN"/>
        </w:rPr>
      </w:pPr>
      <w:r>
        <w:rPr>
          <w:rFonts w:eastAsia="仿宋_GB2312" w:cs="Times New Roman"/>
          <w:kern w:val="2"/>
          <w:sz w:val="32"/>
          <w:szCs w:val="32"/>
          <w:lang w:eastAsia="zh-CN"/>
        </w:rPr>
        <w:t>6.</w:t>
      </w:r>
      <w:r>
        <w:rPr>
          <w:rFonts w:eastAsia="仿宋_GB2312"/>
          <w:sz w:val="32"/>
          <w:szCs w:val="32"/>
          <w:lang w:eastAsia="zh-CN"/>
        </w:rPr>
        <w:t>为履行</w:t>
      </w:r>
      <w:r>
        <w:rPr>
          <w:rFonts w:hint="eastAsia" w:eastAsia="仿宋_GB2312"/>
          <w:sz w:val="32"/>
          <w:szCs w:val="32"/>
          <w:lang w:eastAsia="zh-CN"/>
        </w:rPr>
        <w:t>限制</w:t>
      </w:r>
      <w:r>
        <w:rPr>
          <w:rFonts w:eastAsia="仿宋_GB2312"/>
          <w:sz w:val="32"/>
          <w:szCs w:val="32"/>
          <w:lang w:eastAsia="zh-CN"/>
        </w:rPr>
        <w:t>性条件，英飞凌、赛普拉斯和集中后实体应</w:t>
      </w:r>
      <w:r>
        <w:rPr>
          <w:rFonts w:hint="eastAsia" w:eastAsia="仿宋_GB2312"/>
          <w:sz w:val="32"/>
          <w:szCs w:val="32"/>
          <w:lang w:eastAsia="zh-CN"/>
        </w:rPr>
        <w:t>制定</w:t>
      </w:r>
      <w:r>
        <w:rPr>
          <w:rFonts w:eastAsia="仿宋_GB2312"/>
          <w:sz w:val="32"/>
          <w:szCs w:val="32"/>
          <w:lang w:eastAsia="zh-CN"/>
        </w:rPr>
        <w:t>具体履行方案并提交市场监管总局审查，并在市场监管总局批准后执行。</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eastAsia="黑体"/>
          <w:kern w:val="2"/>
          <w:sz w:val="32"/>
          <w:szCs w:val="32"/>
        </w:rPr>
      </w:pPr>
      <w:r>
        <w:rPr>
          <w:rFonts w:eastAsia="黑体"/>
          <w:kern w:val="2"/>
          <w:sz w:val="32"/>
          <w:szCs w:val="32"/>
        </w:rPr>
        <w:t>第四部分</w:t>
      </w:r>
      <w:r>
        <w:rPr>
          <w:rFonts w:hint="eastAsia" w:eastAsia="黑体"/>
          <w:kern w:val="2"/>
          <w:sz w:val="32"/>
          <w:szCs w:val="32"/>
        </w:rPr>
        <w:t xml:space="preserve"> </w:t>
      </w:r>
      <w:r>
        <w:rPr>
          <w:rFonts w:eastAsia="黑体"/>
          <w:kern w:val="2"/>
          <w:sz w:val="32"/>
          <w:szCs w:val="32"/>
        </w:rPr>
        <w:t>其他事项</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r>
        <w:rPr>
          <w:rFonts w:eastAsia="仿宋_GB2312" w:cs="Times New Roman"/>
          <w:kern w:val="2"/>
          <w:sz w:val="32"/>
          <w:szCs w:val="32"/>
          <w:lang w:eastAsia="zh-CN"/>
        </w:rPr>
        <w:t>7</w:t>
      </w:r>
      <w:r>
        <w:rPr>
          <w:rFonts w:hint="eastAsia" w:eastAsia="仿宋_GB2312" w:cs="Times New Roman"/>
          <w:kern w:val="2"/>
          <w:sz w:val="32"/>
          <w:szCs w:val="32"/>
          <w:lang w:eastAsia="zh-CN"/>
        </w:rPr>
        <w:t>.</w:t>
      </w:r>
      <w:r>
        <w:rPr>
          <w:rFonts w:eastAsia="仿宋_GB2312" w:cs="Times New Roman"/>
          <w:kern w:val="2"/>
          <w:sz w:val="32"/>
          <w:szCs w:val="32"/>
          <w:lang w:eastAsia="zh-CN"/>
        </w:rPr>
        <w:t>英飞凌、赛普拉斯及集中后实体</w:t>
      </w:r>
      <w:r>
        <w:rPr>
          <w:rFonts w:hint="eastAsia" w:eastAsia="仿宋_GB2312" w:cs="Times New Roman"/>
          <w:kern w:val="2"/>
          <w:sz w:val="32"/>
          <w:szCs w:val="32"/>
          <w:lang w:eastAsia="zh-CN"/>
        </w:rPr>
        <w:t>将委托</w:t>
      </w:r>
      <w:r>
        <w:rPr>
          <w:rFonts w:eastAsia="仿宋_GB2312" w:cs="Times New Roman"/>
          <w:kern w:val="2"/>
          <w:sz w:val="32"/>
          <w:szCs w:val="32"/>
          <w:lang w:eastAsia="zh-CN"/>
        </w:rPr>
        <w:t>监督受托人，监督受托人应根据《关于经营者集中附加限制性条件的规定（试行）》监督交易双方对决定所附</w:t>
      </w:r>
      <w:r>
        <w:rPr>
          <w:rFonts w:hint="eastAsia" w:eastAsia="仿宋_GB2312" w:cs="Times New Roman"/>
          <w:kern w:val="2"/>
          <w:sz w:val="32"/>
          <w:szCs w:val="32"/>
          <w:lang w:eastAsia="zh-CN"/>
        </w:rPr>
        <w:t>限制性</w:t>
      </w:r>
      <w:r>
        <w:rPr>
          <w:rFonts w:eastAsia="仿宋_GB2312" w:cs="Times New Roman"/>
          <w:kern w:val="2"/>
          <w:sz w:val="32"/>
          <w:szCs w:val="32"/>
          <w:lang w:eastAsia="zh-CN"/>
        </w:rPr>
        <w:t>条件的遵守情况。</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r>
        <w:rPr>
          <w:rFonts w:eastAsia="仿宋_GB2312" w:cs="Times New Roman"/>
          <w:kern w:val="2"/>
          <w:sz w:val="32"/>
          <w:szCs w:val="32"/>
          <w:lang w:eastAsia="zh-CN"/>
        </w:rPr>
        <w:t>8.限制性条件受所有适用法律和法规的约束。市场监管总局有权自行或者</w:t>
      </w:r>
      <w:r>
        <w:rPr>
          <w:rFonts w:hint="eastAsia" w:eastAsia="仿宋_GB2312" w:cs="Times New Roman"/>
          <w:kern w:val="2"/>
          <w:sz w:val="32"/>
          <w:szCs w:val="32"/>
          <w:lang w:eastAsia="zh-CN"/>
        </w:rPr>
        <w:t>通过监督受托人</w:t>
      </w:r>
      <w:r>
        <w:rPr>
          <w:rFonts w:eastAsia="仿宋_GB2312" w:cs="Times New Roman"/>
          <w:kern w:val="2"/>
          <w:sz w:val="32"/>
          <w:szCs w:val="32"/>
          <w:lang w:eastAsia="zh-CN"/>
        </w:rPr>
        <w:t>监督检查英飞凌、赛普拉斯及集中后实体履行上述限制性条件的情况。如违反任何限制性条件，市场监管总局将根据《反垄断法》的相关规定作出</w:t>
      </w:r>
      <w:r>
        <w:rPr>
          <w:rFonts w:hint="eastAsia" w:eastAsia="仿宋_GB2312" w:cs="Times New Roman"/>
          <w:kern w:val="2"/>
          <w:sz w:val="32"/>
          <w:szCs w:val="32"/>
          <w:lang w:eastAsia="zh-CN"/>
        </w:rPr>
        <w:t>决定</w:t>
      </w:r>
      <w:r>
        <w:rPr>
          <w:rFonts w:eastAsia="仿宋_GB2312" w:cs="Times New Roman"/>
          <w:kern w:val="2"/>
          <w:sz w:val="32"/>
          <w:szCs w:val="32"/>
          <w:lang w:eastAsia="zh-CN"/>
        </w:rPr>
        <w:t>，英飞凌、赛普拉斯及集中后实体应承担相关法律责任。</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r>
        <w:rPr>
          <w:rFonts w:eastAsia="仿宋_GB2312" w:cs="Times New Roman"/>
          <w:kern w:val="2"/>
          <w:sz w:val="32"/>
          <w:szCs w:val="32"/>
          <w:lang w:eastAsia="zh-CN"/>
        </w:rPr>
        <w:t>9.</w:t>
      </w:r>
      <w:r>
        <w:rPr>
          <w:rFonts w:eastAsia="仿宋_GB2312"/>
          <w:sz w:val="32"/>
          <w:szCs w:val="32"/>
          <w:lang w:eastAsia="zh-CN"/>
        </w:rPr>
        <w:t>限制性条件自生效日起5</w:t>
      </w:r>
      <w:r>
        <w:rPr>
          <w:rFonts w:hint="eastAsia" w:eastAsia="仿宋_GB2312"/>
          <w:sz w:val="32"/>
          <w:szCs w:val="32"/>
          <w:lang w:eastAsia="zh-CN"/>
        </w:rPr>
        <w:t>年内有效，</w:t>
      </w:r>
      <w:r>
        <w:rPr>
          <w:rFonts w:eastAsia="仿宋_GB2312"/>
          <w:sz w:val="32"/>
          <w:szCs w:val="32"/>
          <w:lang w:eastAsia="zh-CN"/>
        </w:rPr>
        <w:t>5</w:t>
      </w:r>
      <w:r>
        <w:rPr>
          <w:rFonts w:hint="eastAsia" w:eastAsia="仿宋_GB2312"/>
          <w:sz w:val="32"/>
          <w:szCs w:val="32"/>
          <w:lang w:eastAsia="zh-CN"/>
        </w:rPr>
        <w:t>年期</w:t>
      </w:r>
      <w:r>
        <w:rPr>
          <w:rFonts w:eastAsia="仿宋_GB2312"/>
          <w:sz w:val="32"/>
          <w:szCs w:val="32"/>
          <w:lang w:eastAsia="zh-CN"/>
        </w:rPr>
        <w:t>限</w:t>
      </w:r>
      <w:r>
        <w:rPr>
          <w:rFonts w:hint="eastAsia" w:eastAsia="仿宋_GB2312"/>
          <w:sz w:val="32"/>
          <w:szCs w:val="32"/>
          <w:lang w:eastAsia="zh-CN"/>
        </w:rPr>
        <w:t>届满后将自动终止。</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eastAsia="黑体"/>
          <w:kern w:val="2"/>
          <w:sz w:val="32"/>
          <w:szCs w:val="32"/>
        </w:rPr>
      </w:pPr>
      <w:r>
        <w:rPr>
          <w:rFonts w:eastAsia="黑体"/>
          <w:kern w:val="2"/>
          <w:sz w:val="32"/>
          <w:szCs w:val="32"/>
        </w:rPr>
        <w:t>第五部分</w:t>
      </w:r>
      <w:r>
        <w:rPr>
          <w:rFonts w:hint="eastAsia" w:eastAsia="黑体"/>
          <w:kern w:val="2"/>
          <w:sz w:val="32"/>
          <w:szCs w:val="32"/>
        </w:rPr>
        <w:t xml:space="preserve"> </w:t>
      </w:r>
      <w:r>
        <w:rPr>
          <w:rFonts w:eastAsia="黑体"/>
          <w:kern w:val="2"/>
          <w:sz w:val="32"/>
          <w:szCs w:val="32"/>
        </w:rPr>
        <w:t>生效</w:t>
      </w:r>
    </w:p>
    <w:p>
      <w:pPr>
        <w:pStyle w:val="9"/>
        <w:keepNext w:val="0"/>
        <w:keepLines w:val="0"/>
        <w:pageBreakBefore w:val="0"/>
        <w:widowControl w:val="0"/>
        <w:tabs>
          <w:tab w:val="left" w:pos="850"/>
        </w:tabs>
        <w:kinsoku/>
        <w:wordWrap/>
        <w:overflowPunct/>
        <w:topLinePunct w:val="0"/>
        <w:autoSpaceDE/>
        <w:autoSpaceDN/>
        <w:bidi w:val="0"/>
        <w:adjustRightInd/>
        <w:snapToGrid/>
        <w:spacing w:after="0" w:line="580" w:lineRule="exact"/>
        <w:ind w:left="3" w:firstLine="640" w:firstLineChars="200"/>
        <w:jc w:val="both"/>
        <w:textAlignment w:val="auto"/>
        <w:outlineLvl w:val="9"/>
        <w:rPr>
          <w:rFonts w:eastAsia="仿宋_GB2312" w:cs="Times New Roman"/>
          <w:kern w:val="2"/>
          <w:sz w:val="32"/>
          <w:szCs w:val="32"/>
          <w:lang w:eastAsia="zh-CN"/>
        </w:rPr>
      </w:pPr>
      <w:r>
        <w:rPr>
          <w:rFonts w:eastAsia="仿宋_GB2312" w:cs="Times New Roman"/>
          <w:kern w:val="2"/>
          <w:sz w:val="32"/>
          <w:szCs w:val="32"/>
          <w:lang w:eastAsia="zh-CN"/>
        </w:rPr>
        <w:t>10</w:t>
      </w:r>
      <w:r>
        <w:rPr>
          <w:rFonts w:hint="eastAsia" w:eastAsia="仿宋_GB2312" w:cs="Times New Roman"/>
          <w:kern w:val="2"/>
          <w:sz w:val="32"/>
          <w:szCs w:val="32"/>
          <w:lang w:eastAsia="zh-CN"/>
        </w:rPr>
        <w:t>.</w:t>
      </w:r>
      <w:r>
        <w:rPr>
          <w:rFonts w:eastAsia="仿宋_GB2312" w:cs="Times New Roman"/>
          <w:kern w:val="2"/>
          <w:sz w:val="32"/>
          <w:szCs w:val="32"/>
          <w:lang w:eastAsia="zh-CN"/>
        </w:rPr>
        <w:t>本限制性条件</w:t>
      </w:r>
      <w:r>
        <w:rPr>
          <w:rFonts w:hint="eastAsia" w:eastAsia="仿宋_GB2312" w:cs="Times New Roman"/>
          <w:kern w:val="2"/>
          <w:sz w:val="32"/>
          <w:szCs w:val="32"/>
          <w:lang w:eastAsia="zh-CN"/>
        </w:rPr>
        <w:t>自</w:t>
      </w:r>
      <w:r>
        <w:rPr>
          <w:rFonts w:eastAsia="仿宋_GB2312" w:cs="Times New Roman"/>
          <w:kern w:val="2"/>
          <w:sz w:val="32"/>
          <w:szCs w:val="32"/>
          <w:lang w:eastAsia="zh-CN"/>
        </w:rPr>
        <w:t>决定公告之日起生效。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jc w:val="both"/>
        <w:textAlignment w:val="auto"/>
        <w:outlineLvl w:val="9"/>
        <w:rPr>
          <w:rFonts w:hint="eastAsia" w:eastAsia="仿宋_GB2312"/>
          <w:color w:val="auto"/>
          <w:sz w:val="32"/>
          <w:szCs w:val="32"/>
          <w:lang w:val="en-US" w:eastAsia="zh-CN"/>
        </w:rPr>
      </w:pPr>
    </w:p>
    <w:p>
      <w:pPr>
        <w:spacing w:line="580" w:lineRule="exact"/>
        <w:ind w:firstLine="640" w:firstLineChars="200"/>
        <w:rPr>
          <w:rFonts w:eastAsia="仿宋_GB2312"/>
          <w:color w:val="auto"/>
          <w:sz w:val="32"/>
          <w:szCs w:val="32"/>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roman"/>
    <w:pitch w:val="default"/>
    <w:sig w:usb0="E00002FF" w:usb1="6AC7FDFB" w:usb2="00000012" w:usb3="00000000" w:csb0="4002009F" w:csb1="DFD7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1172557"/>
      <w:docPartObj>
        <w:docPartGallery w:val="autotext"/>
      </w:docPartObj>
    </w:sdtPr>
    <w:sdtContent>
      <w:p>
        <w:pPr>
          <w:pStyle w:val="3"/>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04DB7"/>
    <w:rsid w:val="00AE1606"/>
    <w:rsid w:val="01645289"/>
    <w:rsid w:val="01E01C81"/>
    <w:rsid w:val="037E1E55"/>
    <w:rsid w:val="042B4913"/>
    <w:rsid w:val="044943A2"/>
    <w:rsid w:val="04F87FBB"/>
    <w:rsid w:val="066E3F48"/>
    <w:rsid w:val="06CA388C"/>
    <w:rsid w:val="06FE3411"/>
    <w:rsid w:val="07F22E6A"/>
    <w:rsid w:val="08092787"/>
    <w:rsid w:val="082D4ECE"/>
    <w:rsid w:val="09AF5C00"/>
    <w:rsid w:val="0AB368F9"/>
    <w:rsid w:val="0AD06882"/>
    <w:rsid w:val="0AE34FC4"/>
    <w:rsid w:val="0B762E9F"/>
    <w:rsid w:val="0BD97A99"/>
    <w:rsid w:val="0C162D5D"/>
    <w:rsid w:val="0C7224BF"/>
    <w:rsid w:val="0C863791"/>
    <w:rsid w:val="0CAB0A20"/>
    <w:rsid w:val="0CE870CC"/>
    <w:rsid w:val="0F072768"/>
    <w:rsid w:val="0F7A6727"/>
    <w:rsid w:val="0FBE13AC"/>
    <w:rsid w:val="10A70D3C"/>
    <w:rsid w:val="10C50FB1"/>
    <w:rsid w:val="12EE2608"/>
    <w:rsid w:val="13745B86"/>
    <w:rsid w:val="13E34033"/>
    <w:rsid w:val="14833E2D"/>
    <w:rsid w:val="152B3DCC"/>
    <w:rsid w:val="16A6096F"/>
    <w:rsid w:val="16DC3F00"/>
    <w:rsid w:val="17B944A0"/>
    <w:rsid w:val="18733C98"/>
    <w:rsid w:val="18AE0980"/>
    <w:rsid w:val="18D92D38"/>
    <w:rsid w:val="195F2472"/>
    <w:rsid w:val="19960C23"/>
    <w:rsid w:val="19CD2948"/>
    <w:rsid w:val="1AD30191"/>
    <w:rsid w:val="1AF9586C"/>
    <w:rsid w:val="1B1B465A"/>
    <w:rsid w:val="1B6A53B2"/>
    <w:rsid w:val="1BB6455D"/>
    <w:rsid w:val="1C2C56FE"/>
    <w:rsid w:val="1C5E176D"/>
    <w:rsid w:val="1C8D5556"/>
    <w:rsid w:val="1C8E340D"/>
    <w:rsid w:val="1CDA147A"/>
    <w:rsid w:val="1CFF1382"/>
    <w:rsid w:val="1D107DE0"/>
    <w:rsid w:val="1D970189"/>
    <w:rsid w:val="1D9C48FA"/>
    <w:rsid w:val="1DC46438"/>
    <w:rsid w:val="1DFF2E5F"/>
    <w:rsid w:val="1E57043A"/>
    <w:rsid w:val="1E85113D"/>
    <w:rsid w:val="1EE17064"/>
    <w:rsid w:val="1F060575"/>
    <w:rsid w:val="1F5441FF"/>
    <w:rsid w:val="1F5E4BD8"/>
    <w:rsid w:val="1F8061E9"/>
    <w:rsid w:val="1FA94BE9"/>
    <w:rsid w:val="202F4AD8"/>
    <w:rsid w:val="20355C9C"/>
    <w:rsid w:val="20754052"/>
    <w:rsid w:val="20EC2F87"/>
    <w:rsid w:val="213A522E"/>
    <w:rsid w:val="217B32BD"/>
    <w:rsid w:val="21BC02C5"/>
    <w:rsid w:val="21D75627"/>
    <w:rsid w:val="21F66FFD"/>
    <w:rsid w:val="228F1F4D"/>
    <w:rsid w:val="22973CEF"/>
    <w:rsid w:val="22AF113F"/>
    <w:rsid w:val="235B1262"/>
    <w:rsid w:val="24DC0D54"/>
    <w:rsid w:val="2577267B"/>
    <w:rsid w:val="25FC3F52"/>
    <w:rsid w:val="26021370"/>
    <w:rsid w:val="269A75F8"/>
    <w:rsid w:val="26CB7CDA"/>
    <w:rsid w:val="27235DC6"/>
    <w:rsid w:val="276D6E7C"/>
    <w:rsid w:val="27C63C03"/>
    <w:rsid w:val="28440FC3"/>
    <w:rsid w:val="28B14250"/>
    <w:rsid w:val="28FF0884"/>
    <w:rsid w:val="29532AEC"/>
    <w:rsid w:val="29974A5F"/>
    <w:rsid w:val="2A434140"/>
    <w:rsid w:val="2C454DE4"/>
    <w:rsid w:val="2CD7014A"/>
    <w:rsid w:val="2CE571EE"/>
    <w:rsid w:val="2D4B261E"/>
    <w:rsid w:val="2D5540A7"/>
    <w:rsid w:val="2D6D66E3"/>
    <w:rsid w:val="2D747FF0"/>
    <w:rsid w:val="2E7735CB"/>
    <w:rsid w:val="2FA53E99"/>
    <w:rsid w:val="2FC663D2"/>
    <w:rsid w:val="30D21F09"/>
    <w:rsid w:val="324921F0"/>
    <w:rsid w:val="324D1D1A"/>
    <w:rsid w:val="328D596A"/>
    <w:rsid w:val="32DC0BB8"/>
    <w:rsid w:val="335F6716"/>
    <w:rsid w:val="33A76AC7"/>
    <w:rsid w:val="33C76029"/>
    <w:rsid w:val="342452A5"/>
    <w:rsid w:val="3450285B"/>
    <w:rsid w:val="34CA681A"/>
    <w:rsid w:val="35112A4A"/>
    <w:rsid w:val="353B2FC8"/>
    <w:rsid w:val="35780C75"/>
    <w:rsid w:val="359E1028"/>
    <w:rsid w:val="360C4752"/>
    <w:rsid w:val="36F8713A"/>
    <w:rsid w:val="372B0CC6"/>
    <w:rsid w:val="379D6BBF"/>
    <w:rsid w:val="38331B04"/>
    <w:rsid w:val="390C320C"/>
    <w:rsid w:val="3AB7296D"/>
    <w:rsid w:val="3AFA6952"/>
    <w:rsid w:val="3B184EA5"/>
    <w:rsid w:val="3B860714"/>
    <w:rsid w:val="3CA641BD"/>
    <w:rsid w:val="3CBD03EE"/>
    <w:rsid w:val="3D4159E0"/>
    <w:rsid w:val="3D9C5986"/>
    <w:rsid w:val="3DE66B60"/>
    <w:rsid w:val="3DE974A4"/>
    <w:rsid w:val="3E14398F"/>
    <w:rsid w:val="3EC72576"/>
    <w:rsid w:val="40B6360A"/>
    <w:rsid w:val="41EA21A8"/>
    <w:rsid w:val="42033D60"/>
    <w:rsid w:val="42930410"/>
    <w:rsid w:val="446C050B"/>
    <w:rsid w:val="44DB6731"/>
    <w:rsid w:val="44E363A7"/>
    <w:rsid w:val="45272EB2"/>
    <w:rsid w:val="456D36A8"/>
    <w:rsid w:val="463F3F7E"/>
    <w:rsid w:val="46C31DD0"/>
    <w:rsid w:val="46F25471"/>
    <w:rsid w:val="47310983"/>
    <w:rsid w:val="481A5EFC"/>
    <w:rsid w:val="482F07A0"/>
    <w:rsid w:val="48681519"/>
    <w:rsid w:val="48A13E74"/>
    <w:rsid w:val="49D01B3D"/>
    <w:rsid w:val="4B2013BD"/>
    <w:rsid w:val="4D23548D"/>
    <w:rsid w:val="4DBE797D"/>
    <w:rsid w:val="4E576EDB"/>
    <w:rsid w:val="4F4F7A6D"/>
    <w:rsid w:val="4FE272BB"/>
    <w:rsid w:val="51377982"/>
    <w:rsid w:val="514D2081"/>
    <w:rsid w:val="51734548"/>
    <w:rsid w:val="519A2ADE"/>
    <w:rsid w:val="52BD3C98"/>
    <w:rsid w:val="534D3BC9"/>
    <w:rsid w:val="54704DB7"/>
    <w:rsid w:val="547440B4"/>
    <w:rsid w:val="54843D8E"/>
    <w:rsid w:val="554D713F"/>
    <w:rsid w:val="55790152"/>
    <w:rsid w:val="56A71651"/>
    <w:rsid w:val="574F72CC"/>
    <w:rsid w:val="57633436"/>
    <w:rsid w:val="57AC0992"/>
    <w:rsid w:val="57E45ECE"/>
    <w:rsid w:val="580B633E"/>
    <w:rsid w:val="580F75E0"/>
    <w:rsid w:val="593F26E0"/>
    <w:rsid w:val="59456BD7"/>
    <w:rsid w:val="59EC772A"/>
    <w:rsid w:val="5A2A660F"/>
    <w:rsid w:val="5C061015"/>
    <w:rsid w:val="5C1B41C2"/>
    <w:rsid w:val="5C5304AC"/>
    <w:rsid w:val="5CDC70F7"/>
    <w:rsid w:val="5D44125F"/>
    <w:rsid w:val="5DF33532"/>
    <w:rsid w:val="5DFF048F"/>
    <w:rsid w:val="5E514FE8"/>
    <w:rsid w:val="5ED37C34"/>
    <w:rsid w:val="5F4D37ED"/>
    <w:rsid w:val="5FDC7514"/>
    <w:rsid w:val="5FE213DE"/>
    <w:rsid w:val="60F7571D"/>
    <w:rsid w:val="62787FF8"/>
    <w:rsid w:val="63A2315A"/>
    <w:rsid w:val="63A51C0A"/>
    <w:rsid w:val="63D7615F"/>
    <w:rsid w:val="63EF7319"/>
    <w:rsid w:val="646E4229"/>
    <w:rsid w:val="65AB3C22"/>
    <w:rsid w:val="65C106F4"/>
    <w:rsid w:val="65E7130F"/>
    <w:rsid w:val="660A7108"/>
    <w:rsid w:val="66575DBD"/>
    <w:rsid w:val="668C5F5C"/>
    <w:rsid w:val="6730568A"/>
    <w:rsid w:val="677E35EA"/>
    <w:rsid w:val="68232635"/>
    <w:rsid w:val="68252651"/>
    <w:rsid w:val="686033F4"/>
    <w:rsid w:val="686F1C47"/>
    <w:rsid w:val="69CE2B9E"/>
    <w:rsid w:val="69D6284B"/>
    <w:rsid w:val="6A7648D4"/>
    <w:rsid w:val="6B1F3091"/>
    <w:rsid w:val="6B46076D"/>
    <w:rsid w:val="6B6616C4"/>
    <w:rsid w:val="6BC374EA"/>
    <w:rsid w:val="6C2754CC"/>
    <w:rsid w:val="6C8E57FD"/>
    <w:rsid w:val="6CEB30C8"/>
    <w:rsid w:val="6D6956FA"/>
    <w:rsid w:val="6E347C87"/>
    <w:rsid w:val="6E9E1B80"/>
    <w:rsid w:val="703D7938"/>
    <w:rsid w:val="707F5860"/>
    <w:rsid w:val="70AB4CDA"/>
    <w:rsid w:val="71025B11"/>
    <w:rsid w:val="71A87567"/>
    <w:rsid w:val="72007346"/>
    <w:rsid w:val="724B5202"/>
    <w:rsid w:val="72A8113F"/>
    <w:rsid w:val="73E350A8"/>
    <w:rsid w:val="74B554E2"/>
    <w:rsid w:val="74CF215B"/>
    <w:rsid w:val="74F465C3"/>
    <w:rsid w:val="75446204"/>
    <w:rsid w:val="75EE1CEC"/>
    <w:rsid w:val="760443E1"/>
    <w:rsid w:val="76DA13CC"/>
    <w:rsid w:val="776C2171"/>
    <w:rsid w:val="77CC6F75"/>
    <w:rsid w:val="78587A18"/>
    <w:rsid w:val="78655CA5"/>
    <w:rsid w:val="789B5BE4"/>
    <w:rsid w:val="79214A82"/>
    <w:rsid w:val="793012E1"/>
    <w:rsid w:val="7A384CE6"/>
    <w:rsid w:val="7A473F21"/>
    <w:rsid w:val="7A805430"/>
    <w:rsid w:val="7ACB2A65"/>
    <w:rsid w:val="7B403394"/>
    <w:rsid w:val="7BAC7C37"/>
    <w:rsid w:val="7C266DB0"/>
    <w:rsid w:val="7C520BBC"/>
    <w:rsid w:val="7CCF347A"/>
    <w:rsid w:val="7D2A3FB1"/>
    <w:rsid w:val="7DCD4912"/>
    <w:rsid w:val="7ECB4CC5"/>
    <w:rsid w:val="7EE80DFF"/>
    <w:rsid w:val="7F465328"/>
    <w:rsid w:val="7F474613"/>
    <w:rsid w:val="7F542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99"/>
    <w:pPr>
      <w:tabs>
        <w:tab w:val="center" w:pos="4680"/>
        <w:tab w:val="right" w:pos="9360"/>
      </w:tabs>
    </w:pPr>
  </w:style>
  <w:style w:type="paragraph" w:customStyle="1" w:styleId="7">
    <w:name w:val="CellBody"/>
    <w:basedOn w:val="1"/>
    <w:qFormat/>
    <w:uiPriority w:val="99"/>
    <w:pPr>
      <w:spacing w:before="60" w:after="60" w:line="290" w:lineRule="auto"/>
    </w:pPr>
    <w:rPr>
      <w:kern w:val="20"/>
      <w:szCs w:val="20"/>
    </w:rPr>
  </w:style>
  <w:style w:type="paragraph" w:styleId="8">
    <w:name w:val="List Paragraph"/>
    <w:basedOn w:val="1"/>
    <w:qFormat/>
    <w:uiPriority w:val="24"/>
    <w:pPr>
      <w:ind w:left="720"/>
      <w:contextualSpacing/>
    </w:pPr>
    <w:rPr>
      <w:rFonts w:ascii="Cambria" w:hAnsi="Cambria" w:eastAsia="MS Mincho"/>
      <w:szCs w:val="24"/>
      <w:lang w:eastAsia="en-US"/>
    </w:rPr>
  </w:style>
  <w:style w:type="paragraph" w:customStyle="1" w:styleId="9">
    <w:name w:val="BodyText 1"/>
    <w:basedOn w:val="1"/>
    <w:qFormat/>
    <w:uiPriority w:val="1"/>
    <w:pPr>
      <w:spacing w:after="240"/>
      <w:ind w:firstLine="720"/>
    </w:pPr>
    <w:rPr>
      <w:rFonts w:cs="Arial"/>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2020-03-30T08:25:00Z</dcterms:created>
  <dc:creator>周智高</dc:creator>
  <cp:lastModifiedBy>李明哲</cp:lastModifiedBy>
  <cp:lastPrinted>2020-04-01T01:57:00Z</cp:lastPrinted>
  <dcterms:modified xsi:type="dcterms:W3CDTF">2020-04-08T02:11:27Z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