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4E" w:rsidRDefault="00184C4E" w:rsidP="00184C4E">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184C4E" w:rsidRDefault="00184C4E" w:rsidP="00184C4E">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184C4E" w:rsidRDefault="00184C4E" w:rsidP="00184C4E">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〔2014〕5号</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三菱电机株式会社</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2005年2月至2008年4月，你公司在日本与竞争企业频繁进行双边或多边会谈，或以电话、邮件联系，互相交换价格信息，进行价格协商，并多次就向特定汽车制造商的订单报价达成协议并予实施。你公司进行价格协商涉及中国市场并获得订单的产品共4种，包括交流发电机、爆震传感器、净化控制电磁阀、起动机，并最终获得了供应给（略）车型、（略）车型、（略）车型、（略）车型的交流发电机4个订单，供应给（略）的爆震传感器1个订单，分别供应给（略）、（略）的净化控制电磁阀2个订单，供应给（略）起动机1个订单。截至2013年底，你公司经价格协商后获得的与中国市场相关订单仍在供货。</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调查查明，你公司进行价格协商获得订单的具体情况如下：</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2005年2月，为使你公司获得（略）交流发电机订单、株式会社电装（以下简称电装）获得（略）交流发电机订单及（略）车型用起动机订单，你公司与电装进行协商并就价格调整达成一致，最终你公司与电装各自获得了相应的订单。2006年2月，为使日立汽车系统有限公司(以下简称日立）获得（略）用交流发电机订单，你公司与日立协调了价格。2007年2月，为使日立获得（略）用交流发电机订单，你公司与日立达成一致，由你公司报价（略）元人民币，日立报价（略）元人民币。此后由于日立发生了交流发电机的生产能力问题，你公司得到了（略）用和（略）用交流发电机的订单。2008年4月，为获得（略）用交流发电机的订单，你公司与电</w:t>
      </w:r>
      <w:proofErr w:type="gramStart"/>
      <w:r>
        <w:rPr>
          <w:rFonts w:hint="eastAsia"/>
          <w:color w:val="333333"/>
        </w:rPr>
        <w:t>装达成</w:t>
      </w:r>
      <w:proofErr w:type="gramEnd"/>
      <w:r>
        <w:rPr>
          <w:rFonts w:hint="eastAsia"/>
          <w:color w:val="333333"/>
        </w:rPr>
        <w:t>一致，由电装报价（略）日元，你公司报价</w:t>
      </w:r>
      <w:r>
        <w:rPr>
          <w:rFonts w:hint="eastAsia"/>
          <w:color w:val="333333"/>
        </w:rPr>
        <w:lastRenderedPageBreak/>
        <w:t>（略）日元，最终你公司获得了订单。2006年1月，你公司与电装、日立就供应给（略）的爆震传感器进行报价协商并达成一致，最终你公司获得订单。2006年1月，为获得供应给（略）的净化控制电磁阀订单，你公司与电装、日立协商，由你公司报价（略）日元，电装报价（略）日元，最终你公司取得了（略）车型的中国订单。2007年7月至9月，你公司与电装就供应给（略）的净化控制电磁阀进行报价协商并达成一致，由你公司获得订单。2007年7月至2008年2月，你公司与电装就供应给（略）起动机进行报价协商并达成一致，你公司获得了订单。</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根据你公司提交的财务数据，经本机关核定，确认你公司2013年度在中国市场的涉案产品销售额为（略）元。</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实施《中华人民共和国反垄断法》第十三条第一款第（一）项“固定或者变更商品价格”垄断协议的违法行为。</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公司多次达成并实施价格垄断协议，违法行为持续时间长，协商频率高，违法情节严重，对你公司处2013年度中国境内涉案产品销售额10％的罚款。但考虑到你公司主动报告达成垄断协议有关情况并提供重要证据，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20％的幅度减轻罚款，处2013年度中国境内涉案产品销售额8％的罚款，计4488万元。  </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184C4E" w:rsidRDefault="00184C4E" w:rsidP="00184C4E">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184C4E" w:rsidRDefault="008763AD"/>
    <w:sectPr w:rsidR="008763AD" w:rsidRPr="00184C4E"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C4E"/>
    <w:rsid w:val="00184C4E"/>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C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4C4E"/>
    <w:rPr>
      <w:b/>
      <w:bCs/>
    </w:rPr>
  </w:style>
</w:styles>
</file>

<file path=word/webSettings.xml><?xml version="1.0" encoding="utf-8"?>
<w:webSettings xmlns:r="http://schemas.openxmlformats.org/officeDocument/2006/relationships" xmlns:w="http://schemas.openxmlformats.org/wordprocessingml/2006/main">
  <w:divs>
    <w:div w:id="4363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1804</Characters>
  <Application>Microsoft Office Word</Application>
  <DocSecurity>0</DocSecurity>
  <Lines>15</Lines>
  <Paragraphs>4</Paragraphs>
  <ScaleCrop>false</ScaleCrop>
  <Company>Microsoft</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2019-02-01T01:20:00Z</dcterms:created>
  <dcterms:modified xsi:type="dcterms:W3CDTF">2019-02-01T01:21:00Z</dcterms:modified>
</cp:coreProperties>
</file>