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E332BA">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国家发展和改革委员会行政处罚决定书〔2015〕4号</w:t>
      </w:r>
    </w:p>
    <w:p w:rsidR="00E332BA" w:rsidRDefault="00E332BA" w:rsidP="00E332BA">
      <w:pPr>
        <w:pStyle w:val="a3"/>
        <w:shd w:val="clear" w:color="auto" w:fill="EDEDED"/>
        <w:spacing w:before="0" w:beforeAutospacing="0" w:after="0" w:afterAutospacing="0" w:line="480" w:lineRule="atLeast"/>
        <w:rPr>
          <w:color w:val="333333"/>
        </w:rPr>
      </w:pPr>
      <w:r>
        <w:rPr>
          <w:rFonts w:hint="eastAsia"/>
          <w:color w:val="333333"/>
        </w:rPr>
        <w:t>当事人：威克滚装船务有限公司</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一、违法事实和证据</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的报价达成协议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经查，当事人至少从事了下列行为：</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欧洲至中国航线：2009年9月，（略）发出市场调研。当事人与日本邮船株式会社（以下称“日本邮船”）通过电话商讨，约定当事人以报高价或不报价的方式协助日本邮船获得该订单。作为回报，日本邮船协助当事人获得该航线上（略）汽车的承运业务。当事人按照约定予以了实施。2010年4月，（略）发</w:t>
      </w:r>
      <w:r>
        <w:rPr>
          <w:rFonts w:hint="eastAsia"/>
          <w:color w:val="333333"/>
        </w:rPr>
        <w:lastRenderedPageBreak/>
        <w:t>出招标。当事人通过电话、会面等方式与日本邮船进行讨论，交换投标意向，达成报价协议并予以了实施。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2009年8月，（略）发出招标。当事人分别与日本邮船、株式会社商船三井（以下称“商船三井”）进行面谈，交换投标意向和价格信息。2012年2月，（略）发出询价。商船三井与当事人会面讨论报价水平，约定提高报价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5月，（略）针对新增运量发出信息征询。当事人通过电话、会面等方式多次联系日本邮船，要求报出高于当事人目标运费的价格，日本邮船同意并予以了实施。随后7月，（略）发出正式招标。当事人通过电话、邮件、面谈等方式多次与日本邮船、商船三井、川崎汽船株式会社（以下称“川崎汽船”）进行沟通，交换投标意向，讨论报价水平，达成报价协议并予以了实施。2011年11月，（略）发出招标。在正式招标前后，为获得订单</w:t>
      </w:r>
      <w:proofErr w:type="gramStart"/>
      <w:r>
        <w:rPr>
          <w:rFonts w:hint="eastAsia"/>
          <w:color w:val="333333"/>
        </w:rPr>
        <w:t>并提涨运费</w:t>
      </w:r>
      <w:proofErr w:type="gramEnd"/>
      <w:r>
        <w:rPr>
          <w:rFonts w:hint="eastAsia"/>
          <w:color w:val="333333"/>
        </w:rPr>
        <w:t>，当事人与日本邮船、川崎汽船、商船三</w:t>
      </w:r>
      <w:proofErr w:type="gramStart"/>
      <w:r>
        <w:rPr>
          <w:rFonts w:hint="eastAsia"/>
          <w:color w:val="333333"/>
        </w:rPr>
        <w:t>井通过</w:t>
      </w:r>
      <w:proofErr w:type="gramEnd"/>
      <w:r>
        <w:rPr>
          <w:rFonts w:hint="eastAsia"/>
          <w:color w:val="333333"/>
        </w:rPr>
        <w:t>电话、互访、面谈等方式多次沟通，反复讨论，达成报价协议并予以了实施。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8月，（略）针对新增运量发出询价。当事人和日本邮船通过电话、面谈等方式进行讨论，约定当事人对此次询价报出高价以协助日本邮船涨价。作为回报，日本邮船将协助当事人获得在该航线上（略）汽车的承运业务。当事人同意该要求并予以了实施。当事人还与川崎汽船通过会议交换了运量、份额和费率等敏感信息。2011年7月，（略）发出招标。当事人与日本邮船通过面谈等方式多次讨论，约定日本邮船协助当事人获得（略）的承运业务。作为回报，当事人以报高价的方式协助日本邮船获得订单。当事人按照约定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2009年11月，（略）发出招标。当事人与商船三井、川崎汽船通过面谈等方式进行沟通，讨论投标意向，达成报价协议并予以了实施。2010年1月，（略）针对部分车型的运输发出询价，并于5月针对其他车型发出招标。当事人通过电话分别联系日本邮船和川崎汽船，讨论报价水平，约定以报高价或不报价的方式协助当事人中标并予以了实施。2012年初，（略）发出招标。当事人通过电话分别联系日本邮船和川崎汽船，要求提高报价以协助当事人中标，日本邮船和川崎汽船同意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北美至中国航线：2009年9月，（略）发出询价。当事人与川崎汽船通过电话进行沟通，讨论配合条件，达成报价协议并予以了实施。2011年8月，（略）针对新增运量发出询价。当事人与川崎汽船进行讨论，约定当事人报出高价以协助川崎汽船获得订单并提高运费水平，作为回报川崎汽船将一部分货物交由当事人运输，当事人按照约定予以了实施。2012年，（略）发出招标。当事人与川崎汽船进行沟通，约定当事人按照川崎汽船提供的费率水平进行报价，当事人按照约定予以了实施。2012年5月，（略）发出招标。当事人与川崎汽船通过电话、会面等方式进行沟通，讨论报价水平，约定当事人报出高价以协助川崎汽船获得订单。作为回报，川崎汽船将租赁当事人的舱位运输一半数量的（略）汽车。当事人按照约定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欧洲航线：在该航线上，当事人与日本邮船一直保持密切沟通，频繁交换价格等敏感信息。2011年全年，当事人与日本邮船多次开会讨论对（略）汽车在该航线上的运输业务进行提价，于同年10月达成了提高运输费率的协议，并于2012年2月新一期合同更新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中国至西南非航线：2009年以来，当事人与川崎汽船针对中国至西南非航线的运费水平保持密切沟通，频繁交换中标价格、报价水平等敏感信息。</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南美航线：2010年8月，（略）准备将该航线上的贸易术语由FOB改为CIF，当事人与智利南美轮船有限公司（以下称“南美轮船”）会面沟通，交换了报价信息。2011年7月，（略）发出询价。当事人与日本邮船、南美轮船交换了报价水平，达成报价协议并予以了实施。2011年全年，当事人与日本邮船多次开会，讨论关于（略）汽车在该航线上的运费涨价事宜，达成共识，并于2012年2月新一期合同更新时予以了实施。</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以上事实，有本机关在调查过程中获取的电子邮件、会议记录、出差报销凭据、财务数据以及相关证人证言等为证。</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二、行政处罚依据和决定</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的上述违法行为持续时间长、涉及范围广，且当事人在部分违法事件中起主导作用，违法情节严重，但当事人能主动提供本机关未掌握的有关违法事实和证据，根据《中华人民共和国反垄断法》第四十六条第一款及第四十九条的规定，本机关决定责令当事人立即停止违法行为，并对当事人处以2014年度与中国市场相关的滚装货物国际海运服务销售额9％的罚款，计人民币284,731,338元。</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三、相关事项</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当事人应当自收到本处罚决定书之日起十五日内，</w:t>
      </w:r>
      <w:proofErr w:type="gramStart"/>
      <w:r>
        <w:rPr>
          <w:rFonts w:hint="eastAsia"/>
          <w:color w:val="333333"/>
        </w:rPr>
        <w:t>携本处罚</w:t>
      </w:r>
      <w:proofErr w:type="gramEnd"/>
      <w:r>
        <w:rPr>
          <w:rFonts w:hint="eastAsia"/>
          <w:color w:val="333333"/>
        </w:rPr>
        <w:t>决定书将罚款如数上缴国库。收款人全称：（略）；账号：（略）；开户银行：（略）。到期不缴纳罚款的，本机关将依据《中华人民共和国行政处罚法》第五十一条的规定，每日按罚款数额的百分之三加处罚款。</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E332BA" w:rsidRDefault="00E332BA" w:rsidP="00E332BA">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2015年12月15日</w:t>
      </w:r>
    </w:p>
    <w:p w:rsidR="00E332BA" w:rsidRDefault="00E332BA"/>
    <w:sectPr w:rsidR="00E332BA"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2BA"/>
    <w:rsid w:val="000D288C"/>
    <w:rsid w:val="00E33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2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32BA"/>
    <w:rPr>
      <w:b/>
      <w:bCs/>
    </w:rPr>
  </w:style>
</w:styles>
</file>

<file path=word/webSettings.xml><?xml version="1.0" encoding="utf-8"?>
<w:webSettings xmlns:r="http://schemas.openxmlformats.org/officeDocument/2006/relationships" xmlns:w="http://schemas.openxmlformats.org/wordprocessingml/2006/main">
  <w:divs>
    <w:div w:id="1630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2019-02-01T00:44:00Z</dcterms:created>
  <dcterms:modified xsi:type="dcterms:W3CDTF">2019-02-01T00:44:00Z</dcterms:modified>
</cp:coreProperties>
</file>