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30"/>
          <w:kern w:val="0"/>
          <w:sz w:val="52"/>
          <w:szCs w:val="52"/>
          <w:fitText w:val="5742" w:id="-571132696"/>
        </w:rPr>
        <w:t>国家市场监督管理总</w:t>
      </w:r>
      <w:r>
        <w:rPr>
          <w:rFonts w:hint="default" w:ascii="Times New Roman" w:hAnsi="Times New Roman" w:eastAsia="黑体" w:cs="Times New Roman"/>
          <w:bCs/>
          <w:color w:val="auto"/>
          <w:spacing w:val="1"/>
          <w:kern w:val="0"/>
          <w:sz w:val="52"/>
          <w:szCs w:val="52"/>
          <w:fitText w:val="5742" w:id="-571132696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75"/>
          <w:kern w:val="0"/>
          <w:sz w:val="52"/>
          <w:szCs w:val="52"/>
          <w:fitText w:val="5742" w:id="1"/>
        </w:rPr>
        <w:t>行政处罚决定</w:t>
      </w:r>
      <w:r>
        <w:rPr>
          <w:rFonts w:hint="default" w:ascii="Times New Roman" w:hAnsi="Times New Roman" w:eastAsia="黑体" w:cs="Times New Roman"/>
          <w:bCs/>
          <w:color w:val="auto"/>
          <w:spacing w:val="1"/>
          <w:kern w:val="0"/>
          <w:sz w:val="52"/>
          <w:szCs w:val="52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国市监处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腾讯控股有限公司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628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住  所：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开曼群岛哈金斯大道克里奇广场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反垄断法》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（以下简称《反垄断法》）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《经营者集中审查暂行规定》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，本机关于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2021年8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腾讯控股有限公司（以下简称腾讯）收购重庆谊品弘科技有限公司（以下简称谊品生鲜）股权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涉嫌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违法实施经营者集中案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进行立案调查。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bidi w:val="0"/>
        <w:adjustRightInd w:val="0"/>
        <w:snapToGrid/>
        <w:spacing w:before="0" w:beforeAutospacing="0" w:after="0" w:afterAutospacing="0" w:line="594" w:lineRule="exact"/>
        <w:ind w:left="0" w:right="0" w:firstLine="628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经查，该案构成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违法实施经营者集中，但不具有排除、限制竞争的效果。本机关按照《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的规定，向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送达了《行政处罚告知书》，告知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拟作出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内容及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事实、理由、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并告知当事人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依法享有的陈述、申辩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要求听证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权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利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（一）交易方。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left="0"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b/>
          <w:color w:val="auto"/>
        </w:rPr>
        <w:t>收购方：</w:t>
      </w:r>
      <w:r>
        <w:rPr>
          <w:rFonts w:hint="eastAsia" w:ascii="Times New Roman" w:hAnsi="Times New Roman" w:cs="仿宋_GB2312"/>
          <w:b/>
          <w:color w:val="auto"/>
          <w:lang w:eastAsia="zh-CN"/>
        </w:rPr>
        <w:t>腾讯</w:t>
      </w:r>
      <w:r>
        <w:rPr>
          <w:rFonts w:hint="eastAsia" w:ascii="Times New Roman" w:hAnsi="Times New Roman" w:eastAsia="仿宋_GB2312" w:cs="仿宋_GB2312"/>
          <w:b/>
          <w:color w:val="auto"/>
          <w:lang w:eastAsia="zh-CN"/>
        </w:rPr>
        <w:t>。</w:t>
      </w:r>
      <w:bookmarkStart w:id="0" w:name="_Hlk60234919"/>
      <w:r>
        <w:rPr>
          <w:rFonts w:hint="eastAsia" w:ascii="Times New Roman" w:hAnsi="Times New Roman" w:cs="Times New Roman"/>
          <w:bCs/>
          <w:color w:val="auto"/>
          <w:kern w:val="2"/>
          <w:highlight w:val="none"/>
          <w:lang w:val="en-US" w:eastAsia="zh-CN"/>
        </w:rPr>
        <w:t>1999</w:t>
      </w:r>
      <w:r>
        <w:rPr>
          <w:rFonts w:hint="default" w:ascii="Times New Roman" w:hAnsi="Times New Roman" w:cs="Times New Roman"/>
          <w:bCs/>
          <w:color w:val="auto"/>
          <w:kern w:val="2"/>
          <w:highlight w:val="none"/>
        </w:rPr>
        <w:t>年于</w:t>
      </w:r>
      <w:r>
        <w:rPr>
          <w:rFonts w:hint="eastAsia" w:ascii="Times New Roman" w:hAnsi="Times New Roman" w:cs="Times New Roman"/>
          <w:bCs/>
          <w:color w:val="auto"/>
          <w:kern w:val="2"/>
          <w:highlight w:val="none"/>
          <w:lang w:eastAsia="zh-CN"/>
        </w:rPr>
        <w:t>英属开曼群岛</w:t>
      </w:r>
      <w:r>
        <w:rPr>
          <w:rFonts w:hint="default" w:ascii="Times New Roman" w:hAnsi="Times New Roman" w:cs="Times New Roman"/>
          <w:bCs/>
          <w:color w:val="auto"/>
          <w:kern w:val="2"/>
          <w:highlight w:val="none"/>
        </w:rPr>
        <w:t>注册成立，</w:t>
      </w:r>
      <w:r>
        <w:rPr>
          <w:rFonts w:hint="eastAsia" w:ascii="Times New Roman" w:hAnsi="Times New Roman" w:cs="Times New Roman"/>
          <w:bCs/>
          <w:color w:val="auto"/>
          <w:kern w:val="2"/>
          <w:highlight w:val="none"/>
          <w:lang w:eastAsia="zh-CN"/>
        </w:rPr>
        <w:t>香港联交所上市公司，</w:t>
      </w:r>
      <w:r>
        <w:rPr>
          <w:rFonts w:hint="default" w:ascii="Times New Roman" w:hAnsi="Times New Roman" w:cs="Times New Roman"/>
          <w:color w:val="auto"/>
          <w:kern w:val="2"/>
        </w:rPr>
        <w:t>主要从事基于互联网的增值服务业务</w:t>
      </w:r>
      <w:r>
        <w:rPr>
          <w:rFonts w:hint="eastAsia" w:ascii="Times New Roman" w:hAnsi="Times New Roman" w:cs="Times New Roman"/>
          <w:color w:val="auto"/>
          <w:kern w:val="2"/>
          <w:lang w:eastAsia="zh-CN"/>
        </w:rPr>
        <w:t>，包括通信与社交、数字内容、金融科技服务、工具性软件等</w:t>
      </w:r>
      <w:bookmarkEnd w:id="0"/>
      <w:r>
        <w:rPr>
          <w:rFonts w:hint="eastAsia" w:ascii="Times New Roman" w:hAnsi="Times New Roman" w:cs="Times New Roman"/>
          <w:color w:val="auto"/>
          <w:kern w:val="2"/>
          <w:lang w:eastAsia="zh-CN"/>
        </w:rPr>
        <w:t>，</w:t>
      </w:r>
      <w:r>
        <w:rPr>
          <w:rFonts w:hint="eastAsia" w:ascii="Times New Roman" w:hAnsi="Times New Roman" w:cs="仿宋_GB2312"/>
          <w:b w:val="0"/>
          <w:bCs/>
          <w:color w:val="auto"/>
          <w:highlight w:val="none"/>
          <w:lang w:eastAsia="zh-CN"/>
        </w:rPr>
        <w:t>2018年全球营业额为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人民币</w:t>
      </w:r>
      <w:r>
        <w:rPr>
          <w:rFonts w:hint="eastAsia" w:ascii="Times New Roman" w:hAnsi="Times New Roman" w:cs="仿宋_GB2312"/>
          <w:b w:val="0"/>
          <w:bCs/>
          <w:color w:val="auto"/>
          <w:highlight w:val="none"/>
          <w:lang w:eastAsia="zh-CN"/>
        </w:rPr>
        <w:t>（币种下同），中国境内营业额为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left="0"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color w:val="auto"/>
        </w:rPr>
        <w:t>被收购方：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谊品生鲜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。</w:t>
      </w:r>
      <w:r>
        <w:rPr>
          <w:rFonts w:hint="eastAsia" w:ascii="Times New Roman" w:hAnsi="Times New Roman" w:eastAsia="仿宋_GB2312" w:cs="仿宋_GB2312"/>
          <w:bCs/>
          <w:color w:val="auto"/>
        </w:rPr>
        <w:t>201</w:t>
      </w:r>
      <w:r>
        <w:rPr>
          <w:rFonts w:hint="eastAsia" w:ascii="Times New Roman" w:hAnsi="Times New Roman" w:cs="仿宋_GB2312"/>
          <w:bCs/>
          <w:color w:val="auto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</w:rPr>
        <w:t>年于</w:t>
      </w:r>
      <w:r>
        <w:rPr>
          <w:rFonts w:hint="eastAsia" w:ascii="Times New Roman" w:hAnsi="Times New Roman" w:cs="仿宋_GB2312"/>
          <w:bCs/>
          <w:color w:val="auto"/>
          <w:lang w:eastAsia="zh-CN"/>
        </w:rPr>
        <w:t>重庆</w:t>
      </w:r>
      <w:r>
        <w:rPr>
          <w:rFonts w:hint="eastAsia" w:ascii="Times New Roman" w:hAnsi="Times New Roman" w:eastAsia="仿宋_GB2312" w:cs="仿宋_GB2312"/>
          <w:bCs/>
          <w:color w:val="auto"/>
        </w:rPr>
        <w:t>注册成立，最终控制人是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bCs/>
          <w:color w:val="auto"/>
        </w:rPr>
        <w:t>，主要从事</w:t>
      </w:r>
      <w:r>
        <w:rPr>
          <w:rFonts w:hint="eastAsia" w:ascii="Times New Roman" w:hAnsi="Times New Roman" w:cs="仿宋_GB2312"/>
          <w:bCs/>
          <w:color w:val="auto"/>
          <w:lang w:eastAsia="zh-CN"/>
        </w:rPr>
        <w:t>线下生鲜零售</w:t>
      </w:r>
      <w:r>
        <w:rPr>
          <w:rFonts w:hint="eastAsia" w:ascii="Times New Roman" w:hAnsi="Times New Roman" w:eastAsia="仿宋_GB2312" w:cs="仿宋_GB2312"/>
          <w:bCs/>
          <w:color w:val="auto"/>
        </w:rPr>
        <w:t>业务</w:t>
      </w:r>
      <w:r>
        <w:rPr>
          <w:rFonts w:hint="eastAsia" w:ascii="Times New Roman" w:hAnsi="Times New Roman" w:cs="仿宋_GB2312"/>
          <w:bCs/>
          <w:color w:va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  <w:t>201</w:t>
      </w:r>
      <w:r>
        <w:rPr>
          <w:rFonts w:hint="eastAsia" w:ascii="Times New Roman" w:hAnsi="Times New Roman" w:cs="仿宋_GB2312"/>
          <w:b w:val="0"/>
          <w:bCs/>
          <w:color w:val="auto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  <w:t>年全球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  <w:lang w:eastAsia="zh-CN"/>
        </w:rPr>
        <w:t>和中国境内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  <w:t>营业额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  <w:lang w:eastAsia="zh-CN"/>
        </w:rPr>
        <w:t>均为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（二）交易概况。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本次交易系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股权收购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bCs/>
          <w:color w:val="auto"/>
          <w:kern w:val="2"/>
        </w:rPr>
        <w:t>201</w:t>
      </w:r>
      <w:r>
        <w:rPr>
          <w:rFonts w:hint="eastAsia" w:ascii="Times New Roman" w:hAnsi="Times New Roman" w:cs="Times New Roman"/>
          <w:bCs/>
          <w:color w:val="auto"/>
          <w:kern w:val="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auto"/>
          <w:kern w:val="2"/>
        </w:rPr>
        <w:t>年</w:t>
      </w:r>
      <w:r>
        <w:rPr>
          <w:rFonts w:hint="eastAsia" w:ascii="Times New Roman" w:hAnsi="Times New Roman" w:cs="Times New Roman"/>
          <w:bCs/>
          <w:color w:val="auto"/>
          <w:kern w:val="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auto"/>
          <w:kern w:val="2"/>
        </w:rPr>
        <w:t>月</w:t>
      </w:r>
      <w:r>
        <w:rPr>
          <w:rFonts w:hint="eastAsia" w:ascii="Times New Roman" w:hAnsi="Times New Roman" w:cs="Times New Roman"/>
          <w:bCs/>
          <w:color w:val="auto"/>
          <w:kern w:val="2"/>
          <w:lang w:val="en-US" w:eastAsia="zh-CN"/>
        </w:rPr>
        <w:t>31</w:t>
      </w:r>
      <w:r>
        <w:rPr>
          <w:rFonts w:hint="default" w:ascii="Times New Roman" w:hAnsi="Times New Roman" w:cs="Times New Roman"/>
          <w:bCs/>
          <w:color w:val="auto"/>
          <w:kern w:val="2"/>
        </w:rPr>
        <w:t>日，</w:t>
      </w:r>
      <w:bookmarkStart w:id="1" w:name="_Hlk57297693"/>
      <w:r>
        <w:rPr>
          <w:rFonts w:hint="eastAsia" w:ascii="Times New Roman" w:hAnsi="Times New Roman" w:cs="Times New Roman"/>
          <w:bCs/>
          <w:color w:val="auto"/>
          <w:kern w:val="2"/>
          <w:lang w:eastAsia="zh-CN"/>
        </w:rPr>
        <w:t>交易各方</w:t>
      </w:r>
      <w:r>
        <w:rPr>
          <w:rFonts w:hint="default" w:ascii="Times New Roman" w:hAnsi="Times New Roman" w:cs="Times New Roman"/>
          <w:bCs/>
          <w:color w:val="auto"/>
          <w:kern w:val="2"/>
        </w:rPr>
        <w:t>签署《中外合资经营合同》，</w:t>
      </w:r>
      <w:bookmarkEnd w:id="1"/>
      <w:r>
        <w:rPr>
          <w:rFonts w:hint="eastAsia" w:ascii="Times New Roman" w:hAnsi="Times New Roman" w:cs="Times New Roman"/>
          <w:bCs/>
          <w:color w:val="auto"/>
          <w:kern w:val="2"/>
          <w:lang w:eastAsia="zh-CN"/>
        </w:rPr>
        <w:t>腾讯收购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谊品生鲜</w:t>
      </w:r>
      <w:r>
        <w:rPr>
          <w:rFonts w:hint="default" w:ascii="Times New Roman" w:hAnsi="Times New Roman" w:cs="Times New Roman"/>
          <w:bCs/>
          <w:color w:val="auto"/>
          <w:kern w:val="2"/>
        </w:rPr>
        <w:t>13.</w:t>
      </w:r>
      <w:r>
        <w:rPr>
          <w:rFonts w:hint="eastAsia" w:ascii="Times New Roman" w:hAnsi="Times New Roman" w:cs="Times New Roman"/>
          <w:bCs/>
          <w:color w:val="auto"/>
          <w:kern w:val="2"/>
          <w:lang w:val="en-US" w:eastAsia="zh-CN"/>
        </w:rPr>
        <w:t>334</w:t>
      </w:r>
      <w:r>
        <w:rPr>
          <w:rFonts w:hint="default" w:ascii="Times New Roman" w:hAnsi="Times New Roman" w:cs="Times New Roman"/>
          <w:bCs/>
          <w:color w:val="auto"/>
          <w:kern w:val="2"/>
        </w:rPr>
        <w:t>%的股权</w:t>
      </w:r>
      <w:r>
        <w:rPr>
          <w:rFonts w:hint="eastAsia" w:ascii="Times New Roman" w:hAnsi="Times New Roman" w:cs="仿宋_GB2312"/>
          <w:color w:val="auto"/>
          <w:lang w:val="en-US" w:eastAsia="zh-CN"/>
        </w:rPr>
        <w:t>，获得控制权。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2019年6月13日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腾讯与相关方完成交割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（一）本案构成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违法实施的经营者集中。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对其他经营者的控制权或者能够对其他经营者施加决定性影响”。该交易系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股权收购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lang w:eastAsia="zh-CN"/>
        </w:rPr>
        <w:t>腾讯收购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谊品生鲜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lang w:val="en-US" w:eastAsia="zh-CN"/>
        </w:rPr>
        <w:t>13.334%</w:t>
      </w:r>
      <w:r>
        <w:rPr>
          <w:rFonts w:hint="eastAsia" w:ascii="Times New Roman" w:hAnsi="Times New Roman" w:eastAsia="仿宋_GB2312" w:cs="仿宋_GB2312"/>
          <w:bCs/>
          <w:color w:val="auto"/>
          <w:sz w:val="32"/>
        </w:rPr>
        <w:t>股权，取</w:t>
      </w:r>
      <w:r>
        <w:rPr>
          <w:rFonts w:hint="eastAsia" w:ascii="Times New Roman" w:hAnsi="Times New Roman" w:eastAsia="仿宋_GB2312" w:cs="仿宋_GB2312"/>
          <w:color w:val="auto"/>
          <w:sz w:val="32"/>
        </w:rPr>
        <w:t>得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  <w:t>控制权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6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/>
          <w:color w:val="auto"/>
          <w:lang w:eastAsia="zh-CN"/>
        </w:rPr>
        <w:t>腾讯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201</w:t>
      </w:r>
      <w:r>
        <w:rPr>
          <w:rFonts w:hint="eastAsia" w:ascii="Times New Roman" w:hAnsi="Times New Roman" w:cs="仿宋_GB2312"/>
          <w:b w:val="0"/>
          <w:bCs/>
          <w:color w:val="auto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年度全球营业额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中国境内营业额为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谊品生鲜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201</w:t>
      </w:r>
      <w:r>
        <w:rPr>
          <w:rFonts w:hint="eastAsia" w:ascii="Times New Roman" w:hAnsi="Times New Roman" w:cs="仿宋_GB2312"/>
          <w:b w:val="0"/>
          <w:bCs/>
          <w:color w:val="auto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年度全球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和中国境内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营业额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lang w:eastAsia="zh-CN"/>
        </w:rPr>
        <w:t>均</w:t>
      </w:r>
      <w:r>
        <w:rPr>
          <w:rFonts w:hint="eastAsia" w:ascii="Times New Roman" w:hAnsi="Times New Roman" w:eastAsia="仿宋_GB2312" w:cs="仿宋_GB2312"/>
          <w:b w:val="0"/>
          <w:bCs/>
          <w:color w:val="auto"/>
        </w:rPr>
        <w:t>为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（略）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94" w:lineRule="exact"/>
        <w:ind w:firstLine="62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《反垄断法》第二十一条规定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营者集中达到国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2019年6月13日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腾讯与相关方完成交割，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在此之前未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依法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申报，违反《反垄断法》第二十一条，构成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未依法申报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违法实施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本机关就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腾讯收购谊品生鲜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股权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16" w:firstLineChars="196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《反垄断法》第四十八条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《反垄断法》第四十九条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上述规定，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基于调查情况和评估结论，本机关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决定给予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腾讯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0万元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罚款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《行政处罚法》第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六十七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条规定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“作出罚款决定的行政机关应当与收缴罚款的机构分离。除依照本法第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六十八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条、第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六十九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条的规定当场收缴的罚款外，作出行政处罚决定的行政机关及其执法人员不得自行收缴罚款。当事人应当自收到行政处罚决定书之日起十五日内，到指定的银行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或者通过电子支付系统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应当自收到本行政处罚决定书之日起十五日内，携缴款码到1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家中央财政非税收入收缴代理银行（工、农、中、建、交、中信、光大、招商、邮储、华夏、平安、兴业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、民生、广发、浙商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）任一银行网点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网上银行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缴纳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罚款。缴款码：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0000002103730567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433" w:firstLineChars="173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225" w:firstLineChars="1664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（此件公开发布）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1814" w:gutter="0"/>
      <w:cols w:space="0" w:num="1"/>
      <w:rtlGutter w:val="0"/>
      <w:docGrid w:type="linesAndChars" w:linePitch="29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5D15580"/>
    <w:rsid w:val="075F674C"/>
    <w:rsid w:val="09AC08F5"/>
    <w:rsid w:val="13F85EFD"/>
    <w:rsid w:val="16657401"/>
    <w:rsid w:val="169767E4"/>
    <w:rsid w:val="173B2FCB"/>
    <w:rsid w:val="18DB1E51"/>
    <w:rsid w:val="192053EE"/>
    <w:rsid w:val="1A156921"/>
    <w:rsid w:val="1B095395"/>
    <w:rsid w:val="1C11264C"/>
    <w:rsid w:val="1D3570B1"/>
    <w:rsid w:val="1ED67F29"/>
    <w:rsid w:val="1F573D93"/>
    <w:rsid w:val="21623065"/>
    <w:rsid w:val="21A54411"/>
    <w:rsid w:val="239A0124"/>
    <w:rsid w:val="265326DA"/>
    <w:rsid w:val="28C8606C"/>
    <w:rsid w:val="29171A1E"/>
    <w:rsid w:val="2A7A6DC6"/>
    <w:rsid w:val="2B0F6D0F"/>
    <w:rsid w:val="31E778A8"/>
    <w:rsid w:val="33B94AAA"/>
    <w:rsid w:val="33E16394"/>
    <w:rsid w:val="38043EF0"/>
    <w:rsid w:val="39E75B24"/>
    <w:rsid w:val="3D086E74"/>
    <w:rsid w:val="3DFC0D5A"/>
    <w:rsid w:val="3FAD2E94"/>
    <w:rsid w:val="4297136E"/>
    <w:rsid w:val="44F1186A"/>
    <w:rsid w:val="48A63464"/>
    <w:rsid w:val="49513DE5"/>
    <w:rsid w:val="49F75885"/>
    <w:rsid w:val="4ABC40B8"/>
    <w:rsid w:val="4EF957B9"/>
    <w:rsid w:val="4EFD73AF"/>
    <w:rsid w:val="51075873"/>
    <w:rsid w:val="52A77C54"/>
    <w:rsid w:val="5A3853F1"/>
    <w:rsid w:val="5BDD2331"/>
    <w:rsid w:val="5C686AC3"/>
    <w:rsid w:val="5D4E6DD5"/>
    <w:rsid w:val="630535E1"/>
    <w:rsid w:val="63432760"/>
    <w:rsid w:val="640E6FE8"/>
    <w:rsid w:val="68197930"/>
    <w:rsid w:val="686D740E"/>
    <w:rsid w:val="6A564164"/>
    <w:rsid w:val="6F712D0C"/>
    <w:rsid w:val="7073388E"/>
    <w:rsid w:val="799C3559"/>
    <w:rsid w:val="7A782B89"/>
    <w:rsid w:val="7B777FE0"/>
    <w:rsid w:val="7D641176"/>
    <w:rsid w:val="9D834AFE"/>
    <w:rsid w:val="AD0542AE"/>
    <w:rsid w:val="B7FEBA23"/>
    <w:rsid w:val="E79CF193"/>
    <w:rsid w:val="FB649FDF"/>
    <w:rsid w:val="FDFBABAB"/>
    <w:rsid w:val="FF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2020-12-12T18:26:00Z</dcterms:created>
  <dc:creator>徐霄飞</dc:creator>
  <cp:lastModifiedBy>greatwall</cp:lastModifiedBy>
  <cp:lastPrinted>2021-07-04T22:21:00Z</cp:lastPrinted>
  <dcterms:modified xsi:type="dcterms:W3CDTF">2021-11-19T14:39:50Z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