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6107" w14:textId="3E26E4D4" w:rsidR="00CB00DF" w:rsidRPr="00543FF5" w:rsidRDefault="00CB00DF" w:rsidP="00792B33">
      <w:pPr>
        <w:spacing w:line="276" w:lineRule="auto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543FF5">
        <w:rPr>
          <w:rFonts w:ascii="Times New Roman" w:eastAsia="仿宋_GB2312" w:hAnsi="Times New Roman"/>
          <w:b/>
          <w:sz w:val="30"/>
          <w:szCs w:val="30"/>
        </w:rPr>
        <w:t>经营者集中简易案件公示表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8"/>
        <w:gridCol w:w="5361"/>
      </w:tblGrid>
      <w:tr w:rsidR="00A0667C" w:rsidRPr="006D6571" w14:paraId="7DDDCACE" w14:textId="77777777" w:rsidTr="00587F3B">
        <w:trPr>
          <w:trHeight w:val="510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684A1033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7209" w:type="dxa"/>
            <w:gridSpan w:val="2"/>
            <w:vAlign w:val="center"/>
          </w:tcPr>
          <w:p w14:paraId="7C5C5961" w14:textId="3D0304AC" w:rsidR="00976E53" w:rsidRPr="006D6571" w:rsidRDefault="00587F3B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87F3B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SK</w:t>
            </w:r>
            <w:r w:rsidRPr="00587F3B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海力士株式会社收购启方半导体有限公司股权案（“</w:t>
            </w:r>
            <w:r w:rsidRPr="005255F7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本次交易</w:t>
            </w:r>
            <w:r w:rsidRPr="00587F3B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</w:p>
        </w:tc>
      </w:tr>
      <w:tr w:rsidR="00A0667C" w:rsidRPr="006D6571" w14:paraId="26308DB4" w14:textId="77777777" w:rsidTr="00587F3B">
        <w:trPr>
          <w:trHeight w:val="125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0BA48AE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45832130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7209" w:type="dxa"/>
            <w:gridSpan w:val="2"/>
            <w:vAlign w:val="center"/>
          </w:tcPr>
          <w:p w14:paraId="6E8CAF5E" w14:textId="55ACC4D7" w:rsidR="0042352E" w:rsidRPr="00B373A0" w:rsidRDefault="00B373A0" w:rsidP="00B373A0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本次交易涉及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SK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海力士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株式会社（“</w:t>
            </w:r>
            <w:r w:rsidRPr="005255F7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S</w:t>
            </w:r>
            <w:r w:rsidRPr="005255F7">
              <w:rPr>
                <w:rFonts w:ascii="Times New Roman" w:eastAsia="仿宋_GB2312" w:hAnsi="Times New Roman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K </w:t>
            </w:r>
            <w:r w:rsidRPr="005255F7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海力士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从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Magnus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半导体收购启方半导体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有限公司</w:t>
            </w:r>
            <w:r w:rsidR="0018117D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 w:rsidR="0018117D" w:rsidRPr="005255F7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启方半导体</w:t>
            </w:r>
            <w:r w:rsidR="0018117D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所有具有</w:t>
            </w:r>
            <w:r w:rsidRPr="00B373A0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表决</w:t>
            </w:r>
            <w:r w:rsidRPr="00B373A0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权的普通股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。本次交易完成后，</w:t>
            </w:r>
            <w:r w:rsidRPr="00B373A0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启方半导体将由</w:t>
            </w:r>
            <w:r w:rsidRPr="00B373A0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SK</w:t>
            </w:r>
            <w:r w:rsidRPr="00B373A0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海力士单独控制。</w:t>
            </w:r>
          </w:p>
        </w:tc>
      </w:tr>
      <w:tr w:rsidR="00006E6D" w:rsidRPr="006D6571" w14:paraId="1BCE1397" w14:textId="77777777" w:rsidTr="00385682">
        <w:trPr>
          <w:trHeight w:val="2688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2FB9033D" w14:textId="77777777" w:rsidR="00006E6D" w:rsidRPr="006D6571" w:rsidRDefault="00006E6D" w:rsidP="00006E6D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67BE149F" w14:textId="77777777" w:rsidR="00006E6D" w:rsidRPr="006D6571" w:rsidRDefault="00006E6D" w:rsidP="00006E6D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848" w:type="dxa"/>
            <w:vAlign w:val="center"/>
          </w:tcPr>
          <w:p w14:paraId="022A1353" w14:textId="46381834" w:rsidR="00006E6D" w:rsidRPr="001E5DE3" w:rsidRDefault="00006E6D" w:rsidP="00006E6D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1E5DE3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1E5DE3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K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</w:t>
            </w:r>
          </w:p>
        </w:tc>
        <w:tc>
          <w:tcPr>
            <w:tcW w:w="5361" w:type="dxa"/>
            <w:vAlign w:val="center"/>
          </w:tcPr>
          <w:p w14:paraId="2333F86C" w14:textId="5D8E8363" w:rsidR="00006E6D" w:rsidRPr="007270EB" w:rsidRDefault="00006E6D" w:rsidP="00006E6D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K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海力士成立于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983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日，注册地址位于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韩国京畿道利川市夫钵邑京忠大路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2091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SK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海力士是一家跨国公司，从事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的相关业务包括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：（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）存储器半导体，例如动态随机存取存储器、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NAND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闪存；（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）存储解决方案，例如固态硬盘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;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以及（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1D4791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）系统半导体，例如互补式金属氧化物半导体图像传感器。</w:t>
            </w:r>
          </w:p>
        </w:tc>
      </w:tr>
      <w:tr w:rsidR="00006E6D" w:rsidRPr="006D6571" w14:paraId="0238B40B" w14:textId="77777777" w:rsidTr="00385682">
        <w:trPr>
          <w:trHeight w:val="1836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4BD255DB" w14:textId="77777777" w:rsidR="00006E6D" w:rsidRPr="006D6571" w:rsidRDefault="00006E6D" w:rsidP="00006E6D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8" w:type="dxa"/>
            <w:vAlign w:val="center"/>
          </w:tcPr>
          <w:p w14:paraId="5F348FC5" w14:textId="64DF02CC" w:rsidR="00006E6D" w:rsidRPr="001E5DE3" w:rsidRDefault="00006E6D" w:rsidP="00006E6D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1E5DE3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1E5DE3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启方半导体</w:t>
            </w:r>
          </w:p>
        </w:tc>
        <w:tc>
          <w:tcPr>
            <w:tcW w:w="5361" w:type="dxa"/>
            <w:vAlign w:val="center"/>
          </w:tcPr>
          <w:p w14:paraId="7E7C50E7" w14:textId="7B48820E" w:rsidR="00006E6D" w:rsidRPr="006D6571" w:rsidRDefault="00006E6D" w:rsidP="00006E6D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启方半导体是一家成立于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2020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日的晶圆代工半导体公司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，注册地址位于韩国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清州市兴德区大新路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215</w:t>
            </w:r>
            <w:r w:rsidRPr="00657F1E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。启方半导体具备相应技术和生产能力</w:t>
            </w:r>
            <w:r w:rsidRPr="00385682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可以为客户提供定制产品和服务。</w:t>
            </w:r>
          </w:p>
        </w:tc>
        <w:bookmarkStart w:id="0" w:name="_GoBack"/>
        <w:bookmarkEnd w:id="0"/>
      </w:tr>
      <w:tr w:rsidR="00A0667C" w:rsidRPr="006D6571" w14:paraId="0FB67DDD" w14:textId="77777777" w:rsidTr="00587F3B">
        <w:trPr>
          <w:trHeight w:val="279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545FC2DE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  <w:p w14:paraId="78C39351" w14:textId="77777777" w:rsidR="002A3649" w:rsidRPr="006D6571" w:rsidRDefault="002A3649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01F78503" w14:textId="7E771F57" w:rsidR="00976E53" w:rsidRPr="006D6571" w:rsidRDefault="00976E53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BF013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A0667C" w:rsidRPr="006D6571" w14:paraId="2326A2C3" w14:textId="77777777" w:rsidTr="00587F3B">
        <w:trPr>
          <w:trHeight w:val="330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67073C7C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1BA8508B" w14:textId="4A9D8493" w:rsidR="00976E53" w:rsidRPr="006D6571" w:rsidRDefault="002D5F90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BF013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A0667C" w:rsidRPr="006D6571" w14:paraId="75D0D8A9" w14:textId="77777777" w:rsidTr="00587F3B">
        <w:trPr>
          <w:trHeight w:val="285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1C3EEA82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34B744A2" w14:textId="5B2A0FAA" w:rsidR="00976E53" w:rsidRPr="006D6571" w:rsidRDefault="00BF0131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A0667C" w:rsidRPr="006D6571" w14:paraId="121E25AD" w14:textId="77777777" w:rsidTr="00587F3B">
        <w:trPr>
          <w:trHeight w:val="660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6814B51E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7D752520" w14:textId="5E0708A7" w:rsidR="00976E53" w:rsidRPr="006D6571" w:rsidRDefault="002D5F90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A0667C" w:rsidRPr="006D6571" w14:paraId="447610DE" w14:textId="77777777" w:rsidTr="00587F3B">
        <w:trPr>
          <w:trHeight w:val="264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29982ACD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4DAEC2DA" w14:textId="746FFA54" w:rsidR="00976E53" w:rsidRPr="006D6571" w:rsidRDefault="00BF0131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A0667C" w:rsidRPr="006D6571" w14:paraId="0D17CF0A" w14:textId="77777777" w:rsidTr="00587F3B">
        <w:trPr>
          <w:trHeight w:val="345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0071EF2B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09" w:type="dxa"/>
            <w:gridSpan w:val="2"/>
            <w:vAlign w:val="center"/>
          </w:tcPr>
          <w:p w14:paraId="2DF0E1EB" w14:textId="00B32A72" w:rsidR="00976E53" w:rsidRPr="006D6571" w:rsidRDefault="00BF0131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976E53"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A0667C" w:rsidRPr="006D6571" w14:paraId="781A65E7" w14:textId="77777777" w:rsidTr="00587F3B">
        <w:trPr>
          <w:trHeight w:val="983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656E695E" w14:textId="77777777" w:rsidR="00976E53" w:rsidRPr="006D6571" w:rsidRDefault="00976E53" w:rsidP="006D6571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6D6571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7209" w:type="dxa"/>
            <w:gridSpan w:val="2"/>
            <w:vAlign w:val="center"/>
          </w:tcPr>
          <w:p w14:paraId="0E3546FB" w14:textId="77777777" w:rsidR="0098396C" w:rsidRDefault="0098396C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7AEB9FA2" w14:textId="7F37794C" w:rsidR="00DB5D1C" w:rsidRDefault="0098396C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为本次交易之目的，相关市场如下：</w:t>
            </w:r>
          </w:p>
          <w:p w14:paraId="1641E6F6" w14:textId="77777777" w:rsidR="0098396C" w:rsidRDefault="0098396C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59071181" w14:textId="77777777" w:rsidR="0098396C" w:rsidRDefault="0098396C" w:rsidP="006D657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全球晶圆代工服务市场：</w:t>
            </w:r>
          </w:p>
          <w:p w14:paraId="05E541C8" w14:textId="5617B0B2" w:rsidR="0098396C" w:rsidRPr="00FF546F" w:rsidRDefault="00FF546F" w:rsidP="00FF546F">
            <w:pPr>
              <w:pStyle w:val="aa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</w:t>
            </w:r>
            <w:r w:rsidRPr="00FF546F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K</w:t>
            </w: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</w:t>
            </w: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[</w:t>
            </w:r>
            <w:r w:rsidRPr="00FF546F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0-5]%</w:t>
            </w:r>
            <w:r w:rsidR="00264676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；</w:t>
            </w:r>
          </w:p>
          <w:p w14:paraId="2D1C4386" w14:textId="77777777" w:rsidR="00FF546F" w:rsidRDefault="00FF546F" w:rsidP="00FF546F">
            <w:pPr>
              <w:pStyle w:val="aa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启方半导体</w:t>
            </w: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[</w:t>
            </w:r>
            <w:r w:rsidRPr="00FF546F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0-5]%</w:t>
            </w:r>
            <w:r w:rsidR="00264676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；</w:t>
            </w:r>
          </w:p>
          <w:p w14:paraId="66522320" w14:textId="35D776BB" w:rsidR="00264676" w:rsidRPr="00FF546F" w:rsidRDefault="000D7BA0" w:rsidP="00FF546F">
            <w:pPr>
              <w:pStyle w:val="aa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S</w:t>
            </w:r>
            <w:r w:rsidRPr="00FF546F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K</w:t>
            </w: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海力士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FF546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启方半导体</w:t>
            </w:r>
            <w:r w:rsidR="00264676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合计</w:t>
            </w:r>
            <w:r w:rsidR="005048C3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64676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[</w:t>
            </w:r>
            <w:r w:rsidR="00264676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0-5]%</w:t>
            </w:r>
            <w:r w:rsidR="00264676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</w:tbl>
    <w:p w14:paraId="27C4429C" w14:textId="77777777" w:rsidR="00236FB6" w:rsidRPr="006D6571" w:rsidRDefault="00236FB6" w:rsidP="006D6571">
      <w:pPr>
        <w:snapToGrid w:val="0"/>
        <w:spacing w:line="276" w:lineRule="auto"/>
        <w:jc w:val="left"/>
        <w:rPr>
          <w:rFonts w:ascii="Times New Roman" w:eastAsia="仿宋_GB2312" w:hAnsi="Times New Roman"/>
          <w:sz w:val="24"/>
          <w:szCs w:val="24"/>
        </w:rPr>
      </w:pPr>
    </w:p>
    <w:sectPr w:rsidR="00236FB6" w:rsidRPr="006D6571" w:rsidSect="0023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C2A3" w14:textId="77777777" w:rsidR="00A32BB7" w:rsidRDefault="00A32BB7" w:rsidP="007703E0">
      <w:r>
        <w:separator/>
      </w:r>
    </w:p>
  </w:endnote>
  <w:endnote w:type="continuationSeparator" w:id="0">
    <w:p w14:paraId="2ABA873E" w14:textId="77777777" w:rsidR="00A32BB7" w:rsidRDefault="00A32BB7" w:rsidP="007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DA68" w14:textId="77777777" w:rsidR="00A32BB7" w:rsidRDefault="00A32BB7" w:rsidP="007703E0">
      <w:r>
        <w:separator/>
      </w:r>
    </w:p>
  </w:footnote>
  <w:footnote w:type="continuationSeparator" w:id="0">
    <w:p w14:paraId="2981099B" w14:textId="77777777" w:rsidR="00A32BB7" w:rsidRDefault="00A32BB7" w:rsidP="0077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42E"/>
    <w:multiLevelType w:val="hybridMultilevel"/>
    <w:tmpl w:val="99BE9E12"/>
    <w:lvl w:ilvl="0" w:tplc="B1488E5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CC32453"/>
    <w:multiLevelType w:val="hybridMultilevel"/>
    <w:tmpl w:val="6C3227D8"/>
    <w:lvl w:ilvl="0" w:tplc="60B0A78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97A0B"/>
    <w:multiLevelType w:val="hybridMultilevel"/>
    <w:tmpl w:val="A712EAD2"/>
    <w:lvl w:ilvl="0" w:tplc="60B0A78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47674"/>
    <w:multiLevelType w:val="hybridMultilevel"/>
    <w:tmpl w:val="21B21514"/>
    <w:lvl w:ilvl="0" w:tplc="60B0A78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900A94"/>
    <w:multiLevelType w:val="hybridMultilevel"/>
    <w:tmpl w:val="DC6CB672"/>
    <w:lvl w:ilvl="0" w:tplc="21F653B2">
      <w:start w:val="1"/>
      <w:numFmt w:val="bullet"/>
      <w:lvlText w:val="-"/>
      <w:lvlJc w:val="left"/>
      <w:pPr>
        <w:ind w:left="420" w:hanging="420"/>
      </w:pPr>
      <w:rPr>
        <w:rFonts w:ascii="楷体_GB2312" w:eastAsia="楷体_GB2312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12CA"/>
    <w:rsid w:val="00005954"/>
    <w:rsid w:val="00006801"/>
    <w:rsid w:val="00006E6D"/>
    <w:rsid w:val="00010414"/>
    <w:rsid w:val="00027DAE"/>
    <w:rsid w:val="00037065"/>
    <w:rsid w:val="00052042"/>
    <w:rsid w:val="00062291"/>
    <w:rsid w:val="000625B7"/>
    <w:rsid w:val="00071BFC"/>
    <w:rsid w:val="0008504B"/>
    <w:rsid w:val="0008522A"/>
    <w:rsid w:val="0008623E"/>
    <w:rsid w:val="00087CF6"/>
    <w:rsid w:val="000A5A73"/>
    <w:rsid w:val="000B1DD1"/>
    <w:rsid w:val="000C32CE"/>
    <w:rsid w:val="000D5651"/>
    <w:rsid w:val="000D7BA0"/>
    <w:rsid w:val="000D7EBA"/>
    <w:rsid w:val="000E2ADC"/>
    <w:rsid w:val="000E7106"/>
    <w:rsid w:val="00105EB5"/>
    <w:rsid w:val="001164CD"/>
    <w:rsid w:val="001249F2"/>
    <w:rsid w:val="0012597F"/>
    <w:rsid w:val="00136A3B"/>
    <w:rsid w:val="00137B0D"/>
    <w:rsid w:val="00155717"/>
    <w:rsid w:val="0018117D"/>
    <w:rsid w:val="001837A3"/>
    <w:rsid w:val="0019745E"/>
    <w:rsid w:val="001A2106"/>
    <w:rsid w:val="001B10DD"/>
    <w:rsid w:val="001C5340"/>
    <w:rsid w:val="001D4791"/>
    <w:rsid w:val="001E0A36"/>
    <w:rsid w:val="001E5DE3"/>
    <w:rsid w:val="00214E68"/>
    <w:rsid w:val="00236FB6"/>
    <w:rsid w:val="00255535"/>
    <w:rsid w:val="00264676"/>
    <w:rsid w:val="00284E0C"/>
    <w:rsid w:val="002A3649"/>
    <w:rsid w:val="002C1AF9"/>
    <w:rsid w:val="002C2218"/>
    <w:rsid w:val="002C5975"/>
    <w:rsid w:val="002D5F90"/>
    <w:rsid w:val="002E0B19"/>
    <w:rsid w:val="002E1C68"/>
    <w:rsid w:val="002E3265"/>
    <w:rsid w:val="002E73D8"/>
    <w:rsid w:val="002F0F7A"/>
    <w:rsid w:val="002F20B2"/>
    <w:rsid w:val="002F3460"/>
    <w:rsid w:val="00300479"/>
    <w:rsid w:val="00313046"/>
    <w:rsid w:val="00351C60"/>
    <w:rsid w:val="00351E1D"/>
    <w:rsid w:val="003578D8"/>
    <w:rsid w:val="00360A94"/>
    <w:rsid w:val="00361841"/>
    <w:rsid w:val="00375BD1"/>
    <w:rsid w:val="00385682"/>
    <w:rsid w:val="00397794"/>
    <w:rsid w:val="003A72CD"/>
    <w:rsid w:val="003B75EA"/>
    <w:rsid w:val="003B7703"/>
    <w:rsid w:val="003C0AEB"/>
    <w:rsid w:val="003C590D"/>
    <w:rsid w:val="003C69DC"/>
    <w:rsid w:val="003E5B1D"/>
    <w:rsid w:val="003F2623"/>
    <w:rsid w:val="003F7F43"/>
    <w:rsid w:val="0042352E"/>
    <w:rsid w:val="0044138F"/>
    <w:rsid w:val="00443086"/>
    <w:rsid w:val="004463C4"/>
    <w:rsid w:val="0045703E"/>
    <w:rsid w:val="00475547"/>
    <w:rsid w:val="00482940"/>
    <w:rsid w:val="004C5DC5"/>
    <w:rsid w:val="004F7688"/>
    <w:rsid w:val="005048C3"/>
    <w:rsid w:val="005255F7"/>
    <w:rsid w:val="00533330"/>
    <w:rsid w:val="00540581"/>
    <w:rsid w:val="00543FF5"/>
    <w:rsid w:val="00544AE7"/>
    <w:rsid w:val="00561070"/>
    <w:rsid w:val="0057078C"/>
    <w:rsid w:val="00587F3B"/>
    <w:rsid w:val="005B4CDB"/>
    <w:rsid w:val="005C2BE1"/>
    <w:rsid w:val="005D3944"/>
    <w:rsid w:val="005E59AE"/>
    <w:rsid w:val="0061601C"/>
    <w:rsid w:val="00635EAF"/>
    <w:rsid w:val="006467D8"/>
    <w:rsid w:val="00657F1E"/>
    <w:rsid w:val="0066510C"/>
    <w:rsid w:val="00673118"/>
    <w:rsid w:val="006737E4"/>
    <w:rsid w:val="00673AC8"/>
    <w:rsid w:val="006A531B"/>
    <w:rsid w:val="006B0EE0"/>
    <w:rsid w:val="006B5550"/>
    <w:rsid w:val="006B78BE"/>
    <w:rsid w:val="006D6571"/>
    <w:rsid w:val="006E249C"/>
    <w:rsid w:val="006F7693"/>
    <w:rsid w:val="0070147B"/>
    <w:rsid w:val="00710140"/>
    <w:rsid w:val="007270EB"/>
    <w:rsid w:val="007327A7"/>
    <w:rsid w:val="007377FC"/>
    <w:rsid w:val="00737E7D"/>
    <w:rsid w:val="007669D6"/>
    <w:rsid w:val="00766AA8"/>
    <w:rsid w:val="007703E0"/>
    <w:rsid w:val="007730F7"/>
    <w:rsid w:val="00782E50"/>
    <w:rsid w:val="00792B33"/>
    <w:rsid w:val="007A24AE"/>
    <w:rsid w:val="007A2CFD"/>
    <w:rsid w:val="007A4A68"/>
    <w:rsid w:val="007B6176"/>
    <w:rsid w:val="007C3539"/>
    <w:rsid w:val="007D27A3"/>
    <w:rsid w:val="007E0C73"/>
    <w:rsid w:val="007F21AC"/>
    <w:rsid w:val="007F2275"/>
    <w:rsid w:val="0081070D"/>
    <w:rsid w:val="0081581F"/>
    <w:rsid w:val="008274FE"/>
    <w:rsid w:val="00830CFD"/>
    <w:rsid w:val="0083631C"/>
    <w:rsid w:val="00845BD3"/>
    <w:rsid w:val="0085470C"/>
    <w:rsid w:val="008A4076"/>
    <w:rsid w:val="008A5BB9"/>
    <w:rsid w:val="008C5257"/>
    <w:rsid w:val="008E1DBF"/>
    <w:rsid w:val="00906212"/>
    <w:rsid w:val="00915F0F"/>
    <w:rsid w:val="009221E2"/>
    <w:rsid w:val="009349FC"/>
    <w:rsid w:val="009532DF"/>
    <w:rsid w:val="00975C84"/>
    <w:rsid w:val="00976E53"/>
    <w:rsid w:val="00981621"/>
    <w:rsid w:val="0098396C"/>
    <w:rsid w:val="009861D4"/>
    <w:rsid w:val="00997019"/>
    <w:rsid w:val="009A1B42"/>
    <w:rsid w:val="009A5029"/>
    <w:rsid w:val="009C742F"/>
    <w:rsid w:val="009D38D5"/>
    <w:rsid w:val="009D5152"/>
    <w:rsid w:val="009F5C7F"/>
    <w:rsid w:val="00A01FAF"/>
    <w:rsid w:val="00A0667C"/>
    <w:rsid w:val="00A32BB7"/>
    <w:rsid w:val="00A35FB3"/>
    <w:rsid w:val="00A53F26"/>
    <w:rsid w:val="00A801AD"/>
    <w:rsid w:val="00A8399C"/>
    <w:rsid w:val="00A85860"/>
    <w:rsid w:val="00AA0CC5"/>
    <w:rsid w:val="00AA3758"/>
    <w:rsid w:val="00AA54AC"/>
    <w:rsid w:val="00AB4F63"/>
    <w:rsid w:val="00AC54D5"/>
    <w:rsid w:val="00AD0C09"/>
    <w:rsid w:val="00AD2B47"/>
    <w:rsid w:val="00AE2C7A"/>
    <w:rsid w:val="00B0004A"/>
    <w:rsid w:val="00B06473"/>
    <w:rsid w:val="00B16AFE"/>
    <w:rsid w:val="00B224FD"/>
    <w:rsid w:val="00B250E5"/>
    <w:rsid w:val="00B32008"/>
    <w:rsid w:val="00B36BEA"/>
    <w:rsid w:val="00B371C0"/>
    <w:rsid w:val="00B373A0"/>
    <w:rsid w:val="00B37E5A"/>
    <w:rsid w:val="00B65DD5"/>
    <w:rsid w:val="00B70F98"/>
    <w:rsid w:val="00B800A4"/>
    <w:rsid w:val="00BA4778"/>
    <w:rsid w:val="00BB0D57"/>
    <w:rsid w:val="00BC308F"/>
    <w:rsid w:val="00BD10B6"/>
    <w:rsid w:val="00BD77A5"/>
    <w:rsid w:val="00BF0131"/>
    <w:rsid w:val="00C07076"/>
    <w:rsid w:val="00C172F8"/>
    <w:rsid w:val="00C27C89"/>
    <w:rsid w:val="00C3042A"/>
    <w:rsid w:val="00C337C9"/>
    <w:rsid w:val="00C419CD"/>
    <w:rsid w:val="00C73CCB"/>
    <w:rsid w:val="00C75CBA"/>
    <w:rsid w:val="00C915BD"/>
    <w:rsid w:val="00CA4143"/>
    <w:rsid w:val="00CB00DF"/>
    <w:rsid w:val="00CB2271"/>
    <w:rsid w:val="00CE2C34"/>
    <w:rsid w:val="00CE6665"/>
    <w:rsid w:val="00CF0CE2"/>
    <w:rsid w:val="00CF2C5D"/>
    <w:rsid w:val="00CF2F03"/>
    <w:rsid w:val="00D0048F"/>
    <w:rsid w:val="00D14448"/>
    <w:rsid w:val="00D434CD"/>
    <w:rsid w:val="00D4646D"/>
    <w:rsid w:val="00D47923"/>
    <w:rsid w:val="00D56F4A"/>
    <w:rsid w:val="00D60F59"/>
    <w:rsid w:val="00D614CA"/>
    <w:rsid w:val="00D620B0"/>
    <w:rsid w:val="00D63B42"/>
    <w:rsid w:val="00D73C72"/>
    <w:rsid w:val="00DB48C3"/>
    <w:rsid w:val="00DB5D1C"/>
    <w:rsid w:val="00DB5D9E"/>
    <w:rsid w:val="00DE1A2D"/>
    <w:rsid w:val="00E00ACB"/>
    <w:rsid w:val="00E0592B"/>
    <w:rsid w:val="00E05C5F"/>
    <w:rsid w:val="00E31738"/>
    <w:rsid w:val="00E32697"/>
    <w:rsid w:val="00E41A16"/>
    <w:rsid w:val="00E4750E"/>
    <w:rsid w:val="00E6545B"/>
    <w:rsid w:val="00E86786"/>
    <w:rsid w:val="00EA415D"/>
    <w:rsid w:val="00EA5B2A"/>
    <w:rsid w:val="00EA5F99"/>
    <w:rsid w:val="00EC1743"/>
    <w:rsid w:val="00EC1F0C"/>
    <w:rsid w:val="00ED2F80"/>
    <w:rsid w:val="00ED3A58"/>
    <w:rsid w:val="00EE7A32"/>
    <w:rsid w:val="00EE7B59"/>
    <w:rsid w:val="00F01FBB"/>
    <w:rsid w:val="00F1624E"/>
    <w:rsid w:val="00F237C1"/>
    <w:rsid w:val="00F24DAA"/>
    <w:rsid w:val="00F259D4"/>
    <w:rsid w:val="00F32F8A"/>
    <w:rsid w:val="00F36A85"/>
    <w:rsid w:val="00F518A9"/>
    <w:rsid w:val="00F631B3"/>
    <w:rsid w:val="00F639FB"/>
    <w:rsid w:val="00F810AA"/>
    <w:rsid w:val="00F84C09"/>
    <w:rsid w:val="00FB3757"/>
    <w:rsid w:val="00FB43EC"/>
    <w:rsid w:val="00FB6B40"/>
    <w:rsid w:val="00FC1A01"/>
    <w:rsid w:val="00FE1794"/>
    <w:rsid w:val="00FE52D3"/>
    <w:rsid w:val="00FF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B78E"/>
  <w15:docId w15:val="{0D827B24-087D-4DDB-9A18-1A049F7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3E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3E0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1E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00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004A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9C742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b">
    <w:name w:val="列出段落 字符"/>
    <w:link w:val="aa"/>
    <w:uiPriority w:val="34"/>
    <w:locked/>
    <w:rsid w:val="009C742F"/>
  </w:style>
  <w:style w:type="character" w:styleId="ac">
    <w:name w:val="annotation reference"/>
    <w:basedOn w:val="a0"/>
    <w:uiPriority w:val="99"/>
    <w:semiHidden/>
    <w:unhideWhenUsed/>
    <w:rsid w:val="00B70F9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70F9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70F98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F9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70F9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&amp; Wood Mallesons</dc:creator>
  <cp:keywords/>
  <dc:description/>
  <cp:lastModifiedBy>King &amp; Wood Mallesons</cp:lastModifiedBy>
  <cp:revision>20</cp:revision>
  <dcterms:created xsi:type="dcterms:W3CDTF">2022-01-18T04:47:00Z</dcterms:created>
  <dcterms:modified xsi:type="dcterms:W3CDTF">2022-01-21T01:39:00Z</dcterms:modified>
</cp:coreProperties>
</file>