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000000"/>
          <w:kern w:val="2"/>
          <w:sz w:val="52"/>
          <w:szCs w:val="52"/>
        </w:rPr>
      </w:pPr>
      <w:r>
        <w:rPr>
          <w:rFonts w:hint="default" w:ascii="Times New Roman" w:hAnsi="Times New Roman" w:eastAsia="黑体" w:cs="Times New Roman"/>
          <w:bCs/>
          <w:color w:val="000000"/>
          <w:spacing w:val="30"/>
          <w:kern w:val="0"/>
          <w:sz w:val="52"/>
          <w:szCs w:val="52"/>
          <w:fitText w:val="5742" w:id="648309583"/>
        </w:rPr>
        <w:t>国家市场监督管理总</w:t>
      </w:r>
      <w:r>
        <w:rPr>
          <w:rFonts w:hint="default" w:ascii="Times New Roman" w:hAnsi="Times New Roman" w:eastAsia="黑体" w:cs="Times New Roman"/>
          <w:bCs/>
          <w:color w:val="000000"/>
          <w:spacing w:val="1"/>
          <w:kern w:val="0"/>
          <w:sz w:val="52"/>
          <w:szCs w:val="52"/>
          <w:fitText w:val="5742" w:id="648309583"/>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1"/>
        </w:rPr>
        <w:t>行政处罚决定</w:t>
      </w:r>
      <w:r>
        <w:rPr>
          <w:rFonts w:hint="default" w:ascii="Times New Roman" w:hAnsi="Times New Roman" w:eastAsia="黑体" w:cs="Times New Roman"/>
          <w:bCs/>
          <w:color w:val="000000"/>
          <w:spacing w:val="1"/>
          <w:kern w:val="0"/>
          <w:sz w:val="52"/>
          <w:szCs w:val="52"/>
          <w:fitText w:val="5742" w:id="1"/>
        </w:rPr>
        <w:t>书</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w:t>
      </w:r>
      <w:r>
        <w:rPr>
          <w:rFonts w:hint="eastAsia" w:eastAsia="仿宋_GB2312" w:cs="Times New Roman"/>
          <w:kern w:val="2"/>
          <w:sz w:val="32"/>
          <w:szCs w:val="32"/>
          <w:lang w:eastAsia="zh-CN"/>
        </w:rPr>
        <w:t>罚</w:t>
      </w: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kern w:val="2"/>
          <w:sz w:val="28"/>
          <w:szCs w:val="28"/>
        </w:rPr>
      </w:pPr>
    </w:p>
    <w:p>
      <w:pPr>
        <w:pStyle w:val="3"/>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sz w:val="32"/>
          <w:lang w:val="en-US" w:eastAsia="zh-CN"/>
        </w:rPr>
      </w:pPr>
      <w:r>
        <w:rPr>
          <w:rFonts w:hint="default" w:ascii="Times New Roman" w:hAnsi="Times New Roman" w:eastAsia="黑体" w:cs="Times New Roman"/>
          <w:kern w:val="2"/>
          <w:sz w:val="32"/>
          <w:szCs w:val="32"/>
        </w:rPr>
        <w:t>当事人：</w:t>
      </w:r>
      <w:r>
        <w:rPr>
          <w:rFonts w:hint="default" w:ascii="Times New Roman" w:hAnsi="Times New Roman" w:eastAsia="仿宋_GB2312" w:cs="Times New Roman"/>
          <w:sz w:val="32"/>
        </w:rPr>
        <w:t>法国巴黎银行个人金融集团（BNP Paribas Personal Finace）</w:t>
      </w:r>
    </w:p>
    <w:p>
      <w:pPr>
        <w:pStyle w:val="3"/>
        <w:keepNext w:val="0"/>
        <w:keepLines w:val="0"/>
        <w:pageBreakBefore w:val="0"/>
        <w:widowControl w:val="0"/>
        <w:kinsoku/>
        <w:wordWrap/>
        <w:topLinePunct w:val="0"/>
        <w:bidi w:val="0"/>
        <w:spacing w:line="594" w:lineRule="exact"/>
        <w:ind w:left="0" w:leftChars="0" w:firstLine="619" w:firstLineChars="197"/>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黑体" w:cs="Times New Roman"/>
          <w:kern w:val="2"/>
          <w:sz w:val="32"/>
          <w:szCs w:val="32"/>
        </w:rPr>
        <w:t xml:space="preserve">住 </w:t>
      </w:r>
      <w:r>
        <w:rPr>
          <w:rFonts w:hint="eastAsia" w:ascii="Times New Roman" w:hAnsi="Times New Roman" w:eastAsia="黑体" w:cs="Times New Roman"/>
          <w:kern w:val="2"/>
          <w:sz w:val="32"/>
          <w:szCs w:val="32"/>
          <w:lang w:val="en-US" w:eastAsia="zh-CN"/>
        </w:rPr>
        <w:t xml:space="preserve"> </w:t>
      </w:r>
      <w:r>
        <w:rPr>
          <w:rFonts w:hint="default" w:ascii="Times New Roman" w:hAnsi="Times New Roman" w:eastAsia="黑体" w:cs="Times New Roman"/>
          <w:kern w:val="2"/>
          <w:sz w:val="32"/>
          <w:szCs w:val="32"/>
        </w:rPr>
        <w:t>所：</w:t>
      </w:r>
      <w:r>
        <w:rPr>
          <w:rFonts w:hint="eastAsia" w:ascii="Times New Roman" w:hAnsi="Times New Roman" w:eastAsia="仿宋_GB2312" w:cs="Times New Roman"/>
          <w:sz w:val="32"/>
          <w:lang w:val="en-US" w:eastAsia="zh-CN"/>
        </w:rPr>
        <w:t>法国巴黎奥斯曼</w:t>
      </w:r>
      <w:bookmarkStart w:id="0" w:name="_GoBack"/>
      <w:bookmarkEnd w:id="0"/>
      <w:r>
        <w:rPr>
          <w:rFonts w:hint="eastAsia" w:ascii="Times New Roman" w:hAnsi="Times New Roman" w:eastAsia="仿宋_GB2312" w:cs="Times New Roman"/>
          <w:sz w:val="32"/>
          <w:lang w:val="en-US" w:eastAsia="zh-CN"/>
        </w:rPr>
        <w:t>大道1号</w:t>
      </w:r>
      <w:r>
        <w:rPr>
          <w:rFonts w:hint="default" w:ascii="Times New Roman" w:hAnsi="Times New Roman" w:eastAsia="仿宋_GB2312" w:cs="Times New Roman"/>
          <w:sz w:val="32"/>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sz w:val="32"/>
          <w:szCs w:val="32"/>
          <w:lang w:eastAsia="zh-CN"/>
        </w:rPr>
        <w:t>根据《中华人民共和国反垄断法》（以下简称《反垄断法》）《经营者集中审查暂行规定》，本机关于</w:t>
      </w: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color w:val="auto"/>
          <w:sz w:val="32"/>
          <w:lang w:val="en-US" w:eastAsia="zh-CN"/>
        </w:rPr>
        <w:t>10</w:t>
      </w:r>
      <w:r>
        <w:rPr>
          <w:rFonts w:hint="default" w:ascii="Times New Roman" w:hAnsi="Times New Roman" w:eastAsia="仿宋_GB2312" w:cs="Times New Roman"/>
          <w:color w:val="auto"/>
          <w:sz w:val="32"/>
          <w:lang w:val="en-US" w:eastAsia="zh-CN"/>
        </w:rPr>
        <w:t>月1</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lang w:val="en-US" w:eastAsia="zh-CN"/>
        </w:rPr>
        <w:t>日</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rPr>
        <w:t>法国巴黎银行个人金融集团（BNP Paribas Personal Finace，以下简称法巴个金）收购浙江智慧普华融资租赁</w:t>
      </w:r>
      <w:r>
        <w:rPr>
          <w:rFonts w:hint="default" w:ascii="Times New Roman" w:hAnsi="Times New Roman" w:eastAsia="仿宋_GB2312" w:cs="Times New Roman"/>
          <w:sz w:val="32"/>
          <w:szCs w:val="32"/>
        </w:rPr>
        <w:t>有限公司</w:t>
      </w:r>
      <w:r>
        <w:rPr>
          <w:rFonts w:hint="default" w:ascii="Times New Roman" w:hAnsi="Times New Roman" w:eastAsia="仿宋_GB2312" w:cs="Times New Roman"/>
          <w:sz w:val="32"/>
        </w:rPr>
        <w:t>（以下简称浙江智慧）</w:t>
      </w:r>
      <w:r>
        <w:rPr>
          <w:rFonts w:hint="default" w:ascii="Times New Roman" w:hAnsi="Times New Roman" w:eastAsia="仿宋_GB2312" w:cs="Times New Roman"/>
          <w:sz w:val="32"/>
          <w:lang w:val="en-US" w:eastAsia="zh-CN"/>
        </w:rPr>
        <w:t>股权</w:t>
      </w:r>
      <w:r>
        <w:rPr>
          <w:rFonts w:hint="default" w:ascii="Times New Roman" w:hAnsi="Times New Roman" w:eastAsia="仿宋_GB2312" w:cs="Times New Roman"/>
          <w:sz w:val="32"/>
        </w:rPr>
        <w:t>涉嫌</w:t>
      </w:r>
      <w:r>
        <w:rPr>
          <w:rFonts w:hint="eastAsia" w:eastAsia="仿宋_GB2312" w:cs="Times New Roman"/>
          <w:color w:val="auto"/>
          <w:sz w:val="32"/>
          <w:lang w:val="en-US" w:eastAsia="zh-CN"/>
        </w:rPr>
        <w:t>未依法申报</w:t>
      </w:r>
      <w:r>
        <w:rPr>
          <w:rFonts w:hint="default" w:ascii="Times New Roman" w:hAnsi="Times New Roman" w:eastAsia="仿宋_GB2312" w:cs="Times New Roman"/>
          <w:color w:val="auto"/>
          <w:sz w:val="32"/>
          <w:lang w:val="en-US" w:eastAsia="zh-CN"/>
        </w:rPr>
        <w:t>违法实施经营者集中案</w:t>
      </w:r>
      <w:r>
        <w:rPr>
          <w:rFonts w:hint="default" w:ascii="Times New Roman" w:hAnsi="Times New Roman" w:eastAsia="仿宋_GB2312" w:cs="Times New Roman"/>
          <w:color w:val="auto"/>
          <w:kern w:val="2"/>
          <w:sz w:val="32"/>
          <w:szCs w:val="32"/>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auto"/>
          <w:kern w:val="2"/>
          <w:sz w:val="32"/>
          <w:szCs w:val="32"/>
        </w:rPr>
        <w:t>经查，该案构成</w:t>
      </w:r>
      <w:r>
        <w:rPr>
          <w:rFonts w:hint="eastAsia" w:eastAsia="仿宋_GB2312" w:cs="Times New Roman"/>
          <w:color w:val="auto"/>
          <w:kern w:val="2"/>
          <w:sz w:val="32"/>
          <w:szCs w:val="32"/>
          <w:lang w:eastAsia="zh-CN"/>
        </w:rPr>
        <w:t>未依法申报</w:t>
      </w:r>
      <w:r>
        <w:rPr>
          <w:rFonts w:hint="default" w:ascii="Times New Roman" w:hAnsi="Times New Roman" w:eastAsia="仿宋_GB2312" w:cs="Times New Roman"/>
          <w:color w:val="auto"/>
          <w:kern w:val="2"/>
          <w:sz w:val="32"/>
          <w:szCs w:val="32"/>
        </w:rPr>
        <w:t>违法实施经营者集中，但不具有排除、限制竞争的效果。本机关按照《</w:t>
      </w:r>
      <w:r>
        <w:rPr>
          <w:rFonts w:hint="default" w:ascii="Times New Roman" w:hAnsi="Times New Roman" w:eastAsia="仿宋_GB2312" w:cs="Times New Roman"/>
          <w:color w:val="auto"/>
          <w:kern w:val="2"/>
          <w:sz w:val="32"/>
          <w:szCs w:val="32"/>
          <w:lang w:eastAsia="zh-CN"/>
        </w:rPr>
        <w:t>中华人民共和国</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（以下简称</w:t>
      </w:r>
      <w:r>
        <w:rPr>
          <w:rFonts w:hint="default" w:ascii="Times New Roman" w:hAnsi="Times New Roman" w:eastAsia="仿宋_GB2312" w:cs="Times New Roman"/>
          <w:color w:val="auto"/>
          <w:kern w:val="2"/>
          <w:sz w:val="32"/>
          <w:szCs w:val="32"/>
        </w:rPr>
        <w:t>《行政处罚法》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rPr>
        <w:t>的规定，向</w:t>
      </w:r>
      <w:r>
        <w:rPr>
          <w:rFonts w:hint="eastAsia" w:eastAsia="仿宋_GB2312" w:cs="Times New Roman"/>
          <w:sz w:val="32"/>
          <w:lang w:val="en-US" w:eastAsia="zh-CN"/>
        </w:rPr>
        <w:t>法巴个金</w:t>
      </w:r>
      <w:r>
        <w:rPr>
          <w:rFonts w:hint="default" w:ascii="Times New Roman" w:hAnsi="Times New Roman" w:eastAsia="仿宋_GB2312" w:cs="Times New Roman"/>
          <w:color w:val="auto"/>
          <w:kern w:val="2"/>
          <w:sz w:val="32"/>
          <w:szCs w:val="32"/>
        </w:rPr>
        <w:t>送达了《行政处罚告知书》，告知</w:t>
      </w:r>
      <w:r>
        <w:rPr>
          <w:rFonts w:hint="eastAsia"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拟作出</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行政处罚</w:t>
      </w:r>
      <w:r>
        <w:rPr>
          <w:rFonts w:hint="eastAsia" w:eastAsia="仿宋_GB2312" w:cs="Times New Roman"/>
          <w:color w:val="auto"/>
          <w:kern w:val="2"/>
          <w:sz w:val="32"/>
          <w:szCs w:val="32"/>
          <w:lang w:eastAsia="zh-CN"/>
        </w:rPr>
        <w:t>内容及</w:t>
      </w:r>
      <w:r>
        <w:rPr>
          <w:rFonts w:hint="default" w:ascii="Times New Roman" w:hAnsi="Times New Roman" w:eastAsia="仿宋_GB2312" w:cs="Times New Roman"/>
          <w:color w:val="auto"/>
          <w:kern w:val="2"/>
          <w:sz w:val="32"/>
          <w:szCs w:val="32"/>
        </w:rPr>
        <w:t>事实、理由、</w:t>
      </w:r>
      <w:r>
        <w:rPr>
          <w:rFonts w:hint="eastAsia" w:eastAsia="仿宋_GB2312" w:cs="Times New Roman"/>
          <w:color w:val="auto"/>
          <w:kern w:val="2"/>
          <w:sz w:val="32"/>
          <w:szCs w:val="32"/>
          <w:lang w:eastAsia="zh-CN"/>
        </w:rPr>
        <w:t>依据</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eastAsia="zh-CN"/>
        </w:rPr>
        <w:t>并告知当事人</w:t>
      </w:r>
      <w:r>
        <w:rPr>
          <w:rFonts w:hint="default" w:ascii="Times New Roman" w:hAnsi="Times New Roman" w:eastAsia="仿宋_GB2312" w:cs="Times New Roman"/>
          <w:color w:val="auto"/>
          <w:kern w:val="2"/>
          <w:sz w:val="32"/>
          <w:szCs w:val="32"/>
        </w:rPr>
        <w:t>依法享有的陈述、申辩</w:t>
      </w:r>
      <w:r>
        <w:rPr>
          <w:rFonts w:hint="eastAsia"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要求听证</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权</w:t>
      </w:r>
      <w:r>
        <w:rPr>
          <w:rFonts w:hint="eastAsia" w:eastAsia="仿宋_GB2312" w:cs="Times New Roman"/>
          <w:color w:val="auto"/>
          <w:kern w:val="2"/>
          <w:sz w:val="32"/>
          <w:szCs w:val="32"/>
          <w:lang w:eastAsia="zh-CN"/>
        </w:rPr>
        <w:t>利</w:t>
      </w:r>
      <w:r>
        <w:rPr>
          <w:rFonts w:hint="default" w:ascii="Times New Roman" w:hAnsi="Times New Roman" w:eastAsia="仿宋_GB2312" w:cs="Times New Roman"/>
          <w:kern w:val="2"/>
          <w:sz w:val="32"/>
          <w:szCs w:val="32"/>
        </w:rPr>
        <w:t>。</w:t>
      </w:r>
      <w:r>
        <w:rPr>
          <w:rFonts w:hint="eastAsia" w:eastAsia="仿宋_GB2312" w:cs="Times New Roman"/>
          <w:sz w:val="32"/>
          <w:lang w:val="en-US" w:eastAsia="zh-CN"/>
        </w:rPr>
        <w:t>法巴个金</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（一）交易方。</w:t>
      </w:r>
    </w:p>
    <w:p>
      <w:pPr>
        <w:pStyle w:val="8"/>
        <w:keepNext w:val="0"/>
        <w:keepLines w:val="0"/>
        <w:pageBreakBefore w:val="0"/>
        <w:widowControl w:val="0"/>
        <w:kinsoku/>
        <w:wordWrap/>
        <w:overflowPunct w:val="0"/>
        <w:topLinePunct w:val="0"/>
        <w:autoSpaceDE w:val="0"/>
        <w:autoSpaceDN w:val="0"/>
        <w:bidi w:val="0"/>
        <w:adjustRightInd w:val="0"/>
        <w:snapToGrid/>
        <w:spacing w:after="0" w:line="594" w:lineRule="exact"/>
        <w:ind w:firstLine="641"/>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kern w:val="2"/>
          <w:sz w:val="32"/>
          <w:szCs w:val="32"/>
          <w:lang w:val="en-US" w:eastAsia="zh-CN" w:bidi="ar-SA"/>
        </w:rPr>
        <w:t>收购方：</w:t>
      </w:r>
      <w:r>
        <w:rPr>
          <w:rFonts w:hint="eastAsia" w:ascii="Times New Roman" w:hAnsi="Times New Roman" w:cs="Times New Roman"/>
          <w:b/>
          <w:kern w:val="2"/>
          <w:sz w:val="32"/>
          <w:szCs w:val="32"/>
          <w:lang w:val="en-US" w:eastAsia="zh-CN" w:bidi="ar-SA"/>
        </w:rPr>
        <w:t>法巴个金</w:t>
      </w:r>
      <w:r>
        <w:rPr>
          <w:rFonts w:hint="default" w:ascii="Times New Roman" w:hAnsi="Times New Roman" w:eastAsia="仿宋_GB2312" w:cs="Times New Roman"/>
          <w:b/>
          <w:kern w:val="2"/>
          <w:sz w:val="32"/>
          <w:szCs w:val="32"/>
          <w:lang w:val="en-US" w:eastAsia="zh-CN" w:bidi="ar-SA"/>
        </w:rPr>
        <w:t>。</w:t>
      </w:r>
      <w:r>
        <w:rPr>
          <w:rFonts w:hint="default" w:ascii="Times New Roman" w:hAnsi="Times New Roman" w:eastAsia="仿宋_GB2312" w:cs="Times New Roman"/>
          <w:sz w:val="32"/>
        </w:rPr>
        <w:t>1953年于法国巴黎注册成立，主要从事银行业务、融资服务、证券服务、保险及房地产业务以及巴黎资本市场相关业务，最终控制人是法国巴黎银行。法巴个金自身在中国没有独立开展业务，但</w:t>
      </w:r>
      <w:r>
        <w:rPr>
          <w:rFonts w:hint="eastAsia" w:ascii="Times New Roman" w:hAnsi="Times New Roman" w:cs="Times New Roman"/>
          <w:sz w:val="32"/>
          <w:lang w:eastAsia="zh-CN"/>
        </w:rPr>
        <w:t>通</w:t>
      </w:r>
      <w:r>
        <w:rPr>
          <w:rFonts w:hint="default" w:ascii="Times New Roman" w:hAnsi="Times New Roman" w:eastAsia="仿宋_GB2312" w:cs="Times New Roman"/>
          <w:sz w:val="32"/>
        </w:rPr>
        <w:t>过其中国合作伙伴提供消费金融及汽车</w:t>
      </w:r>
      <w:r>
        <w:rPr>
          <w:rFonts w:hint="default" w:ascii="Times New Roman" w:hAnsi="Times New Roman" w:eastAsia="仿宋_GB2312" w:cs="Times New Roman"/>
          <w:sz w:val="32"/>
          <w:lang w:eastAsia="zh-CN"/>
        </w:rPr>
        <w:t>信贷</w:t>
      </w:r>
      <w:r>
        <w:rPr>
          <w:rFonts w:hint="default" w:ascii="Times New Roman" w:hAnsi="Times New Roman" w:eastAsia="仿宋_GB2312" w:cs="Times New Roman"/>
          <w:sz w:val="32"/>
        </w:rPr>
        <w:t>服务</w:t>
      </w:r>
      <w:r>
        <w:rPr>
          <w:rFonts w:hint="default" w:ascii="Times New Roman" w:hAnsi="Times New Roman" w:eastAsia="仿宋_GB2312" w:cs="Times New Roman"/>
          <w:bCs/>
          <w:sz w:val="32"/>
        </w:rPr>
        <w:t>。</w:t>
      </w:r>
      <w:r>
        <w:rPr>
          <w:rFonts w:hint="default" w:ascii="Times New Roman" w:hAnsi="Times New Roman" w:eastAsia="仿宋_GB2312" w:cs="Times New Roman"/>
          <w:sz w:val="32"/>
        </w:rPr>
        <w:t>2020</w:t>
      </w:r>
      <w:r>
        <w:rPr>
          <w:rFonts w:hint="default" w:ascii="Times New Roman" w:hAnsi="Times New Roman" w:eastAsia="仿宋_GB2312" w:cs="Times New Roman"/>
          <w:bCs/>
          <w:sz w:val="32"/>
        </w:rPr>
        <w:t>年</w:t>
      </w:r>
      <w:r>
        <w:rPr>
          <w:rFonts w:hint="default" w:ascii="Times New Roman" w:hAnsi="Times New Roman" w:eastAsia="仿宋_GB2312" w:cs="Times New Roman"/>
          <w:sz w:val="32"/>
        </w:rPr>
        <w:t>全球营业额为</w:t>
      </w:r>
      <w:r>
        <w:rPr>
          <w:rFonts w:hint="eastAsia" w:ascii="Times New Roman" w:hAnsi="Times New Roman" w:cs="Times New Roman"/>
          <w:kern w:val="2"/>
          <w:sz w:val="32"/>
          <w:szCs w:val="32"/>
          <w:lang w:val="en-US" w:eastAsia="zh-CN" w:bidi="ar-SA"/>
        </w:rPr>
        <w:t>（略）</w:t>
      </w:r>
      <w:r>
        <w:rPr>
          <w:rFonts w:hint="default" w:ascii="Times New Roman" w:hAnsi="Times New Roman" w:eastAsia="仿宋_GB2312" w:cs="Times New Roman"/>
          <w:sz w:val="32"/>
          <w:szCs w:val="32"/>
        </w:rPr>
        <w:t>人民币（币种下同）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ascii="Times New Roman" w:hAnsi="Times New Roman" w:cs="Times New Roman"/>
          <w:kern w:val="2"/>
          <w:sz w:val="32"/>
          <w:szCs w:val="32"/>
          <w:lang w:val="en-US" w:eastAsia="zh-CN" w:bidi="ar-SA"/>
        </w:rPr>
        <w:t>（略）</w:t>
      </w:r>
      <w:r>
        <w:rPr>
          <w:rFonts w:hint="default" w:ascii="Times New Roman" w:hAnsi="Times New Roman" w:cs="Times New Roman"/>
          <w:sz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sz w:val="32"/>
          <w:lang w:val="en-US" w:eastAsia="zh-CN"/>
        </w:rPr>
      </w:pPr>
      <w:r>
        <w:rPr>
          <w:rFonts w:hint="default" w:ascii="Times New Roman" w:hAnsi="Times New Roman" w:eastAsia="仿宋_GB2312" w:cs="Times New Roman"/>
          <w:b/>
          <w:kern w:val="2"/>
          <w:sz w:val="32"/>
          <w:szCs w:val="32"/>
          <w:lang w:val="en-US" w:eastAsia="zh-CN" w:bidi="ar-SA"/>
        </w:rPr>
        <w:t>被收购方：</w:t>
      </w:r>
      <w:r>
        <w:rPr>
          <w:rFonts w:hint="default" w:ascii="Times New Roman" w:hAnsi="Times New Roman" w:eastAsia="仿宋_GB2312" w:cs="Times New Roman"/>
          <w:b/>
          <w:sz w:val="32"/>
        </w:rPr>
        <w:t>浙江智慧</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Cs/>
          <w:sz w:val="32"/>
        </w:rPr>
        <w:t>2013年8月于</w:t>
      </w:r>
      <w:r>
        <w:rPr>
          <w:rFonts w:hint="eastAsia" w:ascii="Times New Roman" w:hAnsi="Times New Roman" w:eastAsia="仿宋_GB2312" w:cs="Times New Roman"/>
          <w:bCs/>
          <w:sz w:val="32"/>
          <w:lang w:eastAsia="zh-CN"/>
        </w:rPr>
        <w:t>浙江省</w:t>
      </w:r>
      <w:r>
        <w:rPr>
          <w:rFonts w:hint="default" w:ascii="Times New Roman" w:hAnsi="Times New Roman" w:eastAsia="仿宋_GB2312" w:cs="Times New Roman"/>
          <w:bCs/>
          <w:sz w:val="32"/>
        </w:rPr>
        <w:t>宁波市注册成立，主要从事汽车融资租赁业务，由吉利国际（香港）有限公司（以下简称吉利国际）、浙江众尖投资有限公司（以下简称浙江众尖）和浙江吉利汽车有限公司（以下简称吉利汽车）</w:t>
      </w:r>
      <w:r>
        <w:rPr>
          <w:rFonts w:hint="eastAsia" w:ascii="Times New Roman" w:hAnsi="Times New Roman" w:eastAsia="仿宋_GB2312" w:cs="Times New Roman"/>
          <w:bCs/>
          <w:sz w:val="32"/>
          <w:lang w:eastAsia="zh-CN"/>
        </w:rPr>
        <w:t>分别持股</w:t>
      </w:r>
      <w:r>
        <w:rPr>
          <w:rFonts w:hint="eastAsia" w:ascii="Times New Roman" w:hAnsi="Times New Roman" w:eastAsia="仿宋_GB2312" w:cs="Times New Roman"/>
          <w:bCs/>
          <w:sz w:val="32"/>
          <w:lang w:val="en-US" w:eastAsia="zh-CN"/>
        </w:rPr>
        <w:t>30%、52%、18%，上</w:t>
      </w:r>
      <w:r>
        <w:rPr>
          <w:rFonts w:hint="default" w:ascii="Times New Roman" w:hAnsi="Times New Roman" w:eastAsia="仿宋_GB2312" w:cs="Times New Roman"/>
          <w:bCs/>
          <w:sz w:val="32"/>
        </w:rPr>
        <w:t>述三家企业均为浙江吉利控股集团有限公司（以下简称吉利集团）</w:t>
      </w:r>
      <w:r>
        <w:rPr>
          <w:rFonts w:hint="default" w:ascii="Times New Roman" w:hAnsi="Times New Roman" w:eastAsia="仿宋_GB2312" w:cs="Times New Roman"/>
          <w:bCs/>
          <w:sz w:val="32"/>
          <w:lang w:eastAsia="zh-CN"/>
        </w:rPr>
        <w:t>单独控制的</w:t>
      </w:r>
      <w:r>
        <w:rPr>
          <w:rFonts w:hint="default" w:ascii="Times New Roman" w:hAnsi="Times New Roman" w:eastAsia="仿宋_GB2312" w:cs="Times New Roman"/>
          <w:bCs/>
          <w:sz w:val="32"/>
        </w:rPr>
        <w:t>企业，最终控制人为自然人李书福。</w:t>
      </w:r>
      <w:r>
        <w:rPr>
          <w:rFonts w:hint="eastAsia" w:ascii="Times New Roman" w:hAnsi="Times New Roman" w:eastAsia="仿宋_GB2312" w:cs="Times New Roman"/>
          <w:bCs/>
          <w:sz w:val="32"/>
          <w:lang w:eastAsia="zh-CN"/>
        </w:rPr>
        <w:t>吉利集团</w:t>
      </w:r>
      <w:r>
        <w:rPr>
          <w:rFonts w:hint="default" w:ascii="Times New Roman" w:hAnsi="Times New Roman" w:eastAsia="仿宋_GB2312" w:cs="Times New Roman"/>
          <w:bCs/>
          <w:sz w:val="32"/>
        </w:rPr>
        <w:t>2020年度全球营业额为</w:t>
      </w:r>
      <w:r>
        <w:rPr>
          <w:rFonts w:hint="eastAsia" w:ascii="Times New Roman" w:hAnsi="Times New Roman" w:eastAsia="仿宋_GB2312" w:cs="Times New Roman"/>
          <w:bCs/>
          <w:sz w:val="32"/>
          <w:lang w:val="en-US" w:eastAsia="zh-CN"/>
        </w:rPr>
        <w:t>（略）</w:t>
      </w:r>
      <w:r>
        <w:rPr>
          <w:rFonts w:hint="default" w:ascii="Times New Roman" w:hAnsi="Times New Roman" w:eastAsia="仿宋_GB2312" w:cs="Times New Roman"/>
          <w:bCs/>
          <w:sz w:val="32"/>
          <w:lang w:eastAsia="zh-CN"/>
        </w:rPr>
        <w:t>，</w:t>
      </w:r>
      <w:r>
        <w:rPr>
          <w:rFonts w:hint="default" w:ascii="Times New Roman" w:hAnsi="Times New Roman" w:eastAsia="仿宋_GB2312" w:cs="Times New Roman"/>
          <w:bCs/>
          <w:sz w:val="32"/>
        </w:rPr>
        <w:t>中国境内营业额为</w:t>
      </w:r>
      <w:r>
        <w:rPr>
          <w:rFonts w:hint="eastAsia" w:ascii="Times New Roman" w:hAnsi="Times New Roman" w:eastAsia="仿宋_GB2312" w:cs="Times New Roman"/>
          <w:bCs/>
          <w:sz w:val="32"/>
          <w:lang w:val="en-US" w:eastAsia="zh-CN"/>
        </w:rPr>
        <w:t>（略）</w:t>
      </w:r>
      <w:r>
        <w:rPr>
          <w:rFonts w:hint="default" w:ascii="Times New Roman" w:hAnsi="Times New Roman" w:eastAsia="仿宋_GB2312" w:cs="Times New Roman"/>
          <w:bCs/>
          <w:sz w:val="32"/>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（二）交易概况。</w:t>
      </w:r>
    </w:p>
    <w:p>
      <w:pPr>
        <w:pStyle w:val="8"/>
        <w:keepNext w:val="0"/>
        <w:keepLines w:val="0"/>
        <w:pageBreakBefore w:val="0"/>
        <w:widowControl w:val="0"/>
        <w:kinsoku/>
        <w:wordWrap/>
        <w:topLinePunct w:val="0"/>
        <w:bidi w:val="0"/>
        <w:spacing w:line="594"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sz w:val="32"/>
          <w:szCs w:val="32"/>
          <w:lang w:eastAsia="zh-CN"/>
        </w:rPr>
        <w:t>该</w:t>
      </w:r>
      <w:r>
        <w:rPr>
          <w:rFonts w:hint="default" w:ascii="Times New Roman" w:hAnsi="Times New Roman" w:eastAsia="仿宋_GB2312" w:cs="Times New Roman"/>
          <w:sz w:val="32"/>
          <w:szCs w:val="32"/>
          <w:lang w:eastAsia="zh-CN"/>
        </w:rPr>
        <w:t>交易系股权收购</w:t>
      </w:r>
      <w:r>
        <w:rPr>
          <w:rFonts w:hint="eastAsia" w:ascii="Times New Roman" w:hAnsi="Times New Roman" w:cs="Times New Roman"/>
          <w:sz w:val="32"/>
          <w:szCs w:val="32"/>
          <w:lang w:eastAsia="zh-CN"/>
        </w:rPr>
        <w:t>。</w:t>
      </w:r>
      <w:r>
        <w:rPr>
          <w:rFonts w:hint="default" w:ascii="Times New Roman" w:hAnsi="Times New Roman" w:eastAsia="仿宋_GB2312" w:cs="Times New Roman"/>
          <w:bCs/>
          <w:sz w:val="32"/>
        </w:rPr>
        <w:t>2021年5月21日，法巴个金和吉利国际、浙江众尖、吉利汽车签署《股权转让协议》，认购浙江智慧20%股权，</w:t>
      </w:r>
      <w:r>
        <w:rPr>
          <w:rFonts w:hint="default" w:ascii="Times New Roman" w:hAnsi="Times New Roman" w:eastAsia="仿宋_GB2312" w:cs="Times New Roman"/>
          <w:sz w:val="32"/>
        </w:rPr>
        <w:t>并</w:t>
      </w:r>
      <w:r>
        <w:rPr>
          <w:rFonts w:hint="default" w:ascii="Times New Roman" w:hAnsi="Times New Roman" w:eastAsia="仿宋_GB2312" w:cs="Times New Roman"/>
          <w:bCs/>
          <w:sz w:val="32"/>
        </w:rPr>
        <w:t>取得共同控制权。2021年7月22日，交易完成股权变更登记手续</w:t>
      </w:r>
      <w:r>
        <w:rPr>
          <w:rFonts w:hint="default" w:ascii="Times New Roman" w:hAnsi="Times New Roman" w:eastAsia="仿宋_GB2312" w:cs="Times New Roman"/>
          <w:b w:val="0"/>
          <w:bCs w:val="0"/>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（一）本案构成未依法申报违法实施的经营者集中。</w:t>
      </w:r>
    </w:p>
    <w:p>
      <w:pPr>
        <w:keepNext w:val="0"/>
        <w:keepLines w:val="0"/>
        <w:pageBreakBefore w:val="0"/>
        <w:widowControl w:val="0"/>
        <w:kinsoku/>
        <w:wordWrap/>
        <w:topLinePunct w:val="0"/>
        <w:bidi w:val="0"/>
        <w:spacing w:line="594" w:lineRule="exact"/>
        <w:ind w:firstLine="628" w:firstLineChars="200"/>
        <w:jc w:val="both"/>
        <w:textAlignment w:val="auto"/>
        <w:rPr>
          <w:rFonts w:hint="default" w:ascii="Times New Roman" w:hAnsi="Times New Roman" w:eastAsia="仿宋_GB2312" w:cs="Times New Roman"/>
          <w:bCs/>
          <w:sz w:val="32"/>
          <w:szCs w:val="36"/>
          <w:lang w:eastAsia="zh-CN"/>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default" w:ascii="Times New Roman" w:hAnsi="Times New Roman" w:eastAsia="仿宋_GB2312" w:cs="Times New Roman"/>
          <w:bCs/>
          <w:sz w:val="32"/>
        </w:rPr>
        <w:t>2021年5月21日</w:t>
      </w:r>
      <w:r>
        <w:rPr>
          <w:rFonts w:hint="eastAsia" w:ascii="Times New Roman" w:hAnsi="Times New Roman" w:eastAsia="仿宋_GB2312" w:cs="Times New Roman"/>
          <w:b w:val="0"/>
          <w:bCs w:val="0"/>
          <w:kern w:val="2"/>
          <w:sz w:val="32"/>
          <w:szCs w:val="32"/>
          <w:lang w:val="en-US" w:eastAsia="zh-CN" w:bidi="ar-SA"/>
        </w:rPr>
        <w:t>，法巴个金收购浙江智慧</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kern w:val="2"/>
          <w:sz w:val="32"/>
          <w:szCs w:val="32"/>
          <w:lang w:val="en-US" w:eastAsia="zh-CN" w:bidi="ar-SA"/>
        </w:rPr>
        <w:t>股权，</w:t>
      </w:r>
      <w:r>
        <w:rPr>
          <w:rFonts w:hint="eastAsia" w:ascii="Times New Roman" w:hAnsi="Times New Roman" w:eastAsia="仿宋_GB2312" w:cs="Times New Roman"/>
          <w:bCs/>
          <w:kern w:val="2"/>
          <w:sz w:val="32"/>
          <w:szCs w:val="32"/>
          <w:lang w:val="en-US" w:eastAsia="zh-CN" w:bidi="ar-SA"/>
        </w:rPr>
        <w:t>取得共同控制权</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sz w:val="32"/>
          <w:szCs w:val="36"/>
          <w:lang w:eastAsia="zh-CN"/>
        </w:rPr>
        <w:t>属于《反垄断法》第二十条规定的经营者集中。</w:t>
      </w:r>
    </w:p>
    <w:p>
      <w:pPr>
        <w:pStyle w:val="8"/>
        <w:keepNext w:val="0"/>
        <w:keepLines w:val="0"/>
        <w:pageBreakBefore w:val="0"/>
        <w:widowControl w:val="0"/>
        <w:kinsoku/>
        <w:wordWrap/>
        <w:topLinePunct w:val="0"/>
        <w:bidi w:val="0"/>
        <w:spacing w:line="594" w:lineRule="exact"/>
        <w:ind w:firstLine="64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rPr>
        <w:t>2020</w:t>
      </w:r>
      <w:r>
        <w:rPr>
          <w:rFonts w:hint="default" w:ascii="Times New Roman" w:hAnsi="Times New Roman" w:eastAsia="仿宋_GB2312" w:cs="Times New Roman"/>
          <w:bCs/>
          <w:sz w:val="32"/>
        </w:rPr>
        <w:t>年度，法巴个金</w:t>
      </w:r>
      <w:r>
        <w:rPr>
          <w:rFonts w:hint="default" w:ascii="Times New Roman" w:hAnsi="Times New Roman" w:eastAsia="仿宋_GB2312" w:cs="Times New Roman"/>
          <w:sz w:val="32"/>
        </w:rPr>
        <w:t>全球营业额为</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略</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中国境内营业额为</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略</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吉利集团</w:t>
      </w:r>
      <w:r>
        <w:rPr>
          <w:rFonts w:hint="default" w:ascii="Times New Roman" w:hAnsi="Times New Roman" w:eastAsia="仿宋_GB2312" w:cs="Times New Roman"/>
          <w:bCs/>
          <w:sz w:val="32"/>
        </w:rPr>
        <w:t>全球营业额为</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略</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bCs/>
          <w:sz w:val="32"/>
        </w:rPr>
        <w:t>，中国境内营业额为</w:t>
      </w:r>
      <w:r>
        <w:rPr>
          <w:rFonts w:hint="eastAsia" w:ascii="Times New Roman" w:hAnsi="Times New Roman"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略</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b w:val="0"/>
          <w:bCs/>
          <w:kern w:val="2"/>
          <w:sz w:val="32"/>
          <w:szCs w:val="32"/>
          <w:lang w:val="en-US" w:eastAsia="zh-CN" w:bidi="ar-SA"/>
        </w:rPr>
        <w:t>，</w:t>
      </w:r>
      <w:r>
        <w:rPr>
          <w:rFonts w:hint="default" w:ascii="Times New Roman" w:hAnsi="Times New Roman" w:eastAsia="仿宋_GB2312" w:cs="Times New Roman"/>
        </w:rPr>
        <w:t>达到《国务院关于经营者集中申报标准的规定》第</w:t>
      </w:r>
      <w:r>
        <w:rPr>
          <w:rFonts w:hint="default" w:ascii="Times New Roman" w:hAnsi="Times New Roman" w:eastAsia="仿宋_GB2312" w:cs="Times New Roman"/>
          <w:lang w:eastAsia="zh-CN"/>
        </w:rPr>
        <w:t>三</w:t>
      </w:r>
      <w:r>
        <w:rPr>
          <w:rFonts w:hint="default" w:ascii="Times New Roman" w:hAnsi="Times New Roman" w:eastAsia="仿宋_GB2312" w:cs="Times New Roman"/>
        </w:rPr>
        <w:t>条规定的申报标准，属于应当申报的情形。</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《反垄断法》第二十一条</w:t>
      </w:r>
      <w:r>
        <w:rPr>
          <w:rFonts w:hint="default" w:ascii="Times New Roman" w:hAnsi="Times New Roman" w:eastAsia="仿宋_GB2312" w:cs="Times New Roman"/>
          <w:sz w:val="32"/>
          <w:szCs w:val="32"/>
          <w:lang w:eastAsia="zh-CN"/>
        </w:rPr>
        <w:t>规定“经营者集中达到国务院规定的申报标准的，经营者应当事先向国务院反垄断执法机构申报，未申报的不得实施集中”。</w:t>
      </w:r>
      <w:r>
        <w:rPr>
          <w:rFonts w:hint="default" w:ascii="Times New Roman" w:hAnsi="Times New Roman" w:eastAsia="仿宋_GB2312" w:cs="Times New Roman"/>
          <w:bCs/>
          <w:sz w:val="32"/>
        </w:rPr>
        <w:t>2021年7月22日</w:t>
      </w:r>
      <w:r>
        <w:rPr>
          <w:rFonts w:hint="default" w:ascii="Times New Roman" w:hAnsi="Times New Roman" w:eastAsia="仿宋_GB2312" w:cs="Times New Roman"/>
          <w:bCs/>
          <w:sz w:val="32"/>
          <w:szCs w:val="32"/>
        </w:rPr>
        <w:t>，</w:t>
      </w:r>
      <w:r>
        <w:rPr>
          <w:rFonts w:hint="eastAsia" w:eastAsia="仿宋_GB2312" w:cs="Times New Roman"/>
          <w:b w:val="0"/>
          <w:bCs w:val="0"/>
          <w:kern w:val="2"/>
          <w:sz w:val="32"/>
          <w:szCs w:val="32"/>
          <w:lang w:val="en-US" w:eastAsia="zh-CN" w:bidi="ar-SA"/>
        </w:rPr>
        <w:t>上述交易</w:t>
      </w:r>
      <w:r>
        <w:rPr>
          <w:rFonts w:hint="default" w:ascii="Times New Roman" w:hAnsi="Times New Roman" w:eastAsia="仿宋_GB2312" w:cs="Times New Roman"/>
          <w:b w:val="0"/>
          <w:bCs w:val="0"/>
          <w:kern w:val="2"/>
          <w:sz w:val="32"/>
          <w:szCs w:val="32"/>
          <w:lang w:val="en-US" w:eastAsia="zh-CN" w:bidi="ar-SA"/>
        </w:rPr>
        <w:t>完成股权变更登记</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sz w:val="32"/>
          <w:szCs w:val="32"/>
          <w:lang w:val="en-US"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eastAsia="仿宋_GB2312" w:cs="Times New Roman"/>
          <w:b w:val="0"/>
          <w:bCs w:val="0"/>
          <w:kern w:val="2"/>
          <w:sz w:val="32"/>
          <w:szCs w:val="32"/>
          <w:lang w:val="en-US" w:eastAsia="zh-CN" w:bidi="ar-SA"/>
        </w:rPr>
        <w:t>法巴个金</w:t>
      </w:r>
      <w:r>
        <w:rPr>
          <w:rFonts w:hint="default" w:ascii="Times New Roman" w:hAnsi="Times New Roman" w:eastAsia="仿宋_GB2312" w:cs="Times New Roman"/>
          <w:b w:val="0"/>
          <w:bCs w:val="0"/>
          <w:kern w:val="2"/>
          <w:sz w:val="32"/>
          <w:szCs w:val="32"/>
          <w:lang w:val="en-US" w:eastAsia="zh-CN" w:bidi="ar-SA"/>
        </w:rPr>
        <w:t>收购</w:t>
      </w:r>
      <w:r>
        <w:rPr>
          <w:rFonts w:hint="eastAsia" w:eastAsia="仿宋_GB2312" w:cs="Times New Roman"/>
          <w:b w:val="0"/>
          <w:bCs w:val="0"/>
          <w:kern w:val="2"/>
          <w:sz w:val="32"/>
          <w:szCs w:val="32"/>
          <w:lang w:val="en-US" w:eastAsia="zh-CN" w:bidi="ar-SA"/>
        </w:rPr>
        <w:t>浙江智慧</w:t>
      </w:r>
      <w:r>
        <w:rPr>
          <w:rFonts w:hint="default" w:ascii="Times New Roman" w:hAnsi="Times New Roman" w:eastAsia="仿宋_GB2312" w:cs="Times New Roman"/>
          <w:kern w:val="2"/>
          <w:sz w:val="32"/>
          <w:szCs w:val="32"/>
          <w:lang w:eastAsia="zh-CN"/>
        </w:rPr>
        <w:t>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w:t>
      </w:r>
      <w:r>
        <w:rPr>
          <w:rFonts w:hint="default" w:ascii="Times New Roman" w:hAnsi="Times New Roman" w:eastAsia="仿宋_GB2312" w:cs="Times New Roman"/>
          <w:bCs/>
          <w:color w:val="000000"/>
          <w:kern w:val="2"/>
          <w:sz w:val="32"/>
          <w:szCs w:val="32"/>
          <w:lang w:eastAsia="zh-CN"/>
        </w:rPr>
        <w:t>情况和评估结论，本机关</w:t>
      </w:r>
      <w:r>
        <w:rPr>
          <w:rFonts w:hint="eastAsia" w:eastAsia="仿宋_GB2312" w:cs="Times New Roman"/>
          <w:bCs/>
          <w:color w:val="000000"/>
          <w:kern w:val="2"/>
          <w:sz w:val="32"/>
          <w:szCs w:val="32"/>
          <w:lang w:eastAsia="zh-CN"/>
        </w:rPr>
        <w:t>决定</w:t>
      </w:r>
      <w:r>
        <w:rPr>
          <w:rFonts w:hint="default" w:ascii="Times New Roman" w:hAnsi="Times New Roman" w:eastAsia="仿宋_GB2312" w:cs="Times New Roman"/>
          <w:bCs/>
          <w:color w:val="000000"/>
          <w:kern w:val="2"/>
          <w:sz w:val="32"/>
          <w:szCs w:val="32"/>
          <w:lang w:eastAsia="zh-CN"/>
        </w:rPr>
        <w:t>给予</w:t>
      </w:r>
      <w:r>
        <w:rPr>
          <w:rFonts w:hint="eastAsia" w:eastAsia="仿宋_GB2312" w:cs="Times New Roman"/>
          <w:bCs/>
          <w:color w:val="000000"/>
          <w:kern w:val="2"/>
          <w:sz w:val="32"/>
          <w:szCs w:val="32"/>
          <w:lang w:val="en-US" w:eastAsia="zh-CN"/>
        </w:rPr>
        <w:t>法巴个金3</w:t>
      </w:r>
      <w:r>
        <w:rPr>
          <w:rFonts w:hint="default" w:ascii="Times New Roman" w:hAnsi="Times New Roman" w:eastAsia="仿宋_GB2312" w:cs="Times New Roman"/>
          <w:bCs/>
          <w:color w:val="000000"/>
          <w:kern w:val="2"/>
          <w:sz w:val="32"/>
          <w:szCs w:val="32"/>
          <w:lang w:eastAsia="zh-CN"/>
        </w:rPr>
        <w:t>0万元罚款的行政处罚。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eastAsia" w:ascii="Times New Roman" w:hAnsi="Times New Roman" w:eastAsia="仿宋_GB2312" w:cs="Times New Roman"/>
          <w:bCs/>
          <w:color w:val="000000"/>
          <w:kern w:val="2"/>
          <w:sz w:val="32"/>
          <w:szCs w:val="32"/>
          <w:highlight w:val="yellow"/>
          <w:lang w:val="en-US" w:eastAsia="zh-CN"/>
        </w:rPr>
      </w:pPr>
      <w:r>
        <w:rPr>
          <w:rFonts w:hint="default" w:ascii="Times New Roman" w:hAnsi="Times New Roman" w:eastAsia="仿宋_GB2312" w:cs="Times New Roman"/>
          <w:bCs/>
          <w:color w:val="000000"/>
          <w:kern w:val="2"/>
          <w:sz w:val="32"/>
          <w:szCs w:val="32"/>
          <w:lang w:eastAsia="zh-CN"/>
        </w:rPr>
        <w:t>当事人应当自收到本行政处罚决定书之日起十五日内，携缴款码到</w:t>
      </w:r>
      <w:r>
        <w:rPr>
          <w:rFonts w:hint="default" w:ascii="Times New Roman" w:hAnsi="Times New Roman" w:eastAsia="仿宋_GB2312" w:cs="Times New Roman"/>
          <w:bCs/>
          <w:color w:val="000000"/>
          <w:kern w:val="2"/>
          <w:sz w:val="32"/>
          <w:szCs w:val="32"/>
          <w:lang w:val="en-US" w:eastAsia="zh-CN"/>
        </w:rPr>
        <w:t>15家中央财政非税收入收缴代理银行（工、农、中、建、交、中信、光大、招商、邮储、华夏、平安、兴业、民生、广发、浙商）任一银行网点、网上银行缴纳罚款。</w:t>
      </w:r>
      <w:r>
        <w:rPr>
          <w:rFonts w:hint="default" w:ascii="Times New Roman" w:hAnsi="Times New Roman" w:eastAsia="仿宋_GB2312" w:cs="Times New Roman"/>
          <w:bCs/>
          <w:color w:val="000000"/>
          <w:kern w:val="2"/>
          <w:sz w:val="32"/>
          <w:szCs w:val="32"/>
          <w:lang w:eastAsia="zh-CN"/>
        </w:rPr>
        <w:t>缴款码：</w:t>
      </w:r>
      <w:r>
        <w:rPr>
          <w:rFonts w:hint="eastAsia" w:eastAsia="仿宋_GB2312" w:cs="Times New Roman"/>
          <w:bCs/>
          <w:color w:val="000000"/>
          <w:kern w:val="2"/>
          <w:sz w:val="32"/>
          <w:szCs w:val="32"/>
          <w:lang w:val="en-US" w:eastAsia="zh-CN"/>
        </w:rPr>
        <w:t>0000002200221107。到期不缴纳罚款的，依据《行政处罚法》第七十二条的规定，本机关将每日按罚款数额的百分之三加处罚款,并依法申请人民法院强制执行。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5433" w:firstLineChars="173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市场监管总局</w:t>
      </w:r>
    </w:p>
    <w:p>
      <w:pPr>
        <w:keepNext w:val="0"/>
        <w:keepLines w:val="0"/>
        <w:pageBreakBefore w:val="0"/>
        <w:widowControl w:val="0"/>
        <w:kinsoku/>
        <w:wordWrap/>
        <w:topLinePunct w:val="0"/>
        <w:bidi w:val="0"/>
        <w:snapToGrid w:val="0"/>
        <w:spacing w:line="594" w:lineRule="exact"/>
        <w:ind w:firstLine="5225" w:firstLineChars="1664"/>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年</w:t>
      </w:r>
      <w:r>
        <w:rPr>
          <w:rFonts w:hint="eastAsia"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28</w:t>
      </w:r>
      <w:r>
        <w:rPr>
          <w:rFonts w:hint="default" w:ascii="Times New Roman" w:hAnsi="Times New Roman" w:eastAsia="仿宋_GB2312" w:cs="Times New Roman"/>
          <w:kern w:val="2"/>
          <w:sz w:val="32"/>
          <w:szCs w:val="32"/>
        </w:rPr>
        <w:t>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cs="Times New Roman"/>
        </w:rPr>
      </w:pPr>
      <w:r>
        <w:rPr>
          <w:rFonts w:hint="default" w:ascii="Times New Roman" w:hAnsi="Times New Roman" w:eastAsia="仿宋_GB2312" w:cs="Times New Roman"/>
          <w:kern w:val="2"/>
          <w:sz w:val="32"/>
          <w:szCs w:val="32"/>
        </w:rPr>
        <w:t>（此件公开发布）</w:t>
      </w:r>
    </w:p>
    <w:p>
      <w:pPr>
        <w:keepNext w:val="0"/>
        <w:keepLines w:val="0"/>
        <w:pageBreakBefore w:val="0"/>
        <w:widowControl w:val="0"/>
        <w:kinsoku/>
        <w:wordWrap/>
        <w:topLinePunct w:val="0"/>
        <w:bidi w:val="0"/>
        <w:spacing w:line="594" w:lineRule="exact"/>
        <w:textAlignment w:val="auto"/>
        <w:rPr>
          <w:rFonts w:hint="default" w:ascii="Times New Roman" w:hAnsi="Times New Roman" w:cs="Times New Roman"/>
        </w:rPr>
      </w:pPr>
    </w:p>
    <w:p/>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474A"/>
    <w:rsid w:val="0D5C4364"/>
    <w:rsid w:val="26B261F2"/>
    <w:rsid w:val="298A6186"/>
    <w:rsid w:val="2D583B73"/>
    <w:rsid w:val="2E443989"/>
    <w:rsid w:val="385C7EA8"/>
    <w:rsid w:val="42075BDD"/>
    <w:rsid w:val="43FF4C44"/>
    <w:rsid w:val="76EE2E73"/>
    <w:rsid w:val="DF3F8E31"/>
    <w:rsid w:val="DF5FC92A"/>
    <w:rsid w:val="F7AA5C0A"/>
    <w:rsid w:val="FFBCF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xielin</dc:creator>
  <cp:lastModifiedBy>oa</cp:lastModifiedBy>
  <cp:lastPrinted>2022-03-30T08:27:00Z</cp:lastPrinted>
  <dcterms:modified xsi:type="dcterms:W3CDTF">2022-03-29T18:44:49Z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