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7E6E6"/>
  <w:body>
    <w:p>
      <w:pPr>
        <w:keepNext w:val="0"/>
        <w:keepLines w:val="0"/>
        <w:pageBreakBefore w:val="0"/>
        <w:widowControl w:val="0"/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bookmarkStart w:id="0" w:name="_Toc20127989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bookmarkEnd w:id="0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center"/>
        <w:textAlignment w:val="auto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实行告知承诺及优化审批服务的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textAlignment w:val="auto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认证领域目录</w:t>
      </w:r>
    </w:p>
    <w:p/>
    <w:tbl>
      <w:tblPr>
        <w:tblStyle w:val="12"/>
        <w:tblW w:w="8678" w:type="dxa"/>
        <w:jc w:val="center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541"/>
        <w:gridCol w:w="4431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Header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认证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类别</w:t>
            </w: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认证领域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认证</w:t>
            </w: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01农林（牧）渔；中药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2" w:firstLineChars="50"/>
              <w:textAlignment w:val="auto"/>
              <w:outlineLvl w:val="9"/>
            </w:pPr>
            <w:r>
              <w:rPr>
                <w:rFonts w:hint="eastAsia"/>
              </w:rPr>
              <w:t>告知</w:t>
            </w:r>
            <w: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02矿和矿物；电力、可燃气和水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03 加工食品、饮料和烟草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04纺织品、服装和皮革制品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05 木材和木制品；纸浆、纸和纸制品，印刷品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06 化工类产品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07 建材产品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08 家具；其他未分类产品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09 废旧物资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10 金属材料及金属制品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11机械设备及零部件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12 电子设备及零部件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13电动机、发电机、发电成套设备和变压器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14配电和控制设备及其零件；绝缘电线和电缆；光缆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15蓄电池、原电池、原电池组和其他电池及其零件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16白炽灯泡或放电灯、弧光灯及其附件；照明设备及其附件；其他电气设备及其零件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17仪器设备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18陆地交通设备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19水路交通设备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20航空航天设备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</w:pPr>
            <w:r>
              <w:rPr>
                <w:rFonts w:hint="eastAsia"/>
              </w:rPr>
              <w:t>21 GB7635.2中涉及产品形成过程的不可运输产品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认证</w:t>
            </w: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01无形资产和土地服务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告知</w:t>
            </w:r>
            <w:r>
              <w:t>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02建筑工程和建筑物服务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03批发业和零售业服务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04住宿服务；食品和饮料服务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05运输服务（陆路运输服务、水运服务、空运服务、支持性和辅助运输服务）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06邮政和速递服务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07电力分配服务；通过主要管道的燃气和水分分配服务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08金融中介、保险和辅助服务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09不动产服务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10不配备操作员的租赁或出租服务</w:t>
            </w:r>
          </w:p>
        </w:tc>
        <w:tc>
          <w:tcPr>
            <w:tcW w:w="141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11科学研究服务（研究和开发服务；专业、科学和技术服务；其他专业、科学和技术服务）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12电信服务；信息检索和提供服务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13支持性服务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14在收费或合同基础上的生产服务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15保养和修理服务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16公共管理和整个社区有关的其他服务；强制性社会保障服务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17教育服务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18卫生保健和社会福利服务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19污水和垃圾处置、公共卫生及其他环境保护服务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20成员组织的服务；国外组织和机构的服务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21娱乐、文化和体育服务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22家庭服务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认证</w:t>
            </w: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01质量管理体系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告知</w:t>
            </w:r>
            <w: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02环境管理体系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03职业健康安全管理体系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04信息安全管理体系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05信息技术服务管理体系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outlineLvl w:val="9"/>
            </w:pPr>
            <w:r>
              <w:rPr>
                <w:rFonts w:hint="eastAsia"/>
              </w:rPr>
              <w:t>06食品农产品管理体系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国家统一推行的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认证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国家统一推行的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认证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有机产品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优化</w:t>
            </w:r>
            <w:r>
              <w:t>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优化</w:t>
            </w:r>
            <w: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良好农业规范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食品质量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饲料产品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绿色市场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食品安全管理体系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危害分析与关键控制点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乳制品生产企业危害分析与关键控制点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乳制品生产企业良好生产规范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节能产品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低碳产品</w:t>
            </w: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通用硅酸盐水泥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平板玻璃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 xml:space="preserve">铝合金建筑型材 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中小型三相异步电动机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陶瓷砖（板）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纺织面料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轮胎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铁路产品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信息安全产品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电器</w:t>
            </w:r>
            <w:r>
              <w:t>电子</w:t>
            </w:r>
            <w:r>
              <w:rPr>
                <w:rFonts w:hint="eastAsia"/>
              </w:rPr>
              <w:t>产品</w:t>
            </w:r>
            <w:r>
              <w:t>有害物质限制使用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可扩展商业报告语言（XBRL）软件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光伏产品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电子招投标系统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中国森林认证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农机</w:t>
            </w:r>
            <w:r>
              <w:t>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交通</w:t>
            </w:r>
            <w:r>
              <w:t>一卡通产品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</w:t>
            </w:r>
            <w:r>
              <w:t>轨道交通装备</w:t>
            </w:r>
            <w:r>
              <w:rPr>
                <w:rFonts w:hint="eastAsia"/>
              </w:rPr>
              <w:t>产品</w:t>
            </w: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城市轨道交通车辆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城市轨道交通制动系统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城市轨道交通牵引传动系统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城市轨道交通电动客车列车控制与诊断系统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城市轨道交通车辆车门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城市轨道交通车辆车钩缓冲装置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</w:p>
        </w:tc>
        <w:tc>
          <w:tcPr>
            <w:tcW w:w="44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outlineLvl w:val="9"/>
            </w:pPr>
            <w:r>
              <w:rPr>
                <w:rFonts w:hint="eastAsia"/>
              </w:rPr>
              <w:t>城市轨道交通基于通信的列车运行控制系统</w:t>
            </w:r>
            <w:r>
              <w:t>（CBTC）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绿色产品</w:t>
            </w: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人造板和木质地板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涂料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卫生陶瓷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建筑玻璃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太阳能热水系统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家具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绝热材料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防水与密封材料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陶瓷砖（板）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纺织产品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木塑制品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</w:p>
        </w:tc>
        <w:tc>
          <w:tcPr>
            <w:tcW w:w="4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纸和纸制品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金融科技产品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体育场所服务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软件过程能力及成熟度评估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测量管理体系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能源管理体系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</w:pPr>
            <w:r>
              <w:rPr>
                <w:rFonts w:hint="eastAsia"/>
              </w:rPr>
              <w:t>知识产权管理体系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</w:tbl>
    <w:p>
      <w:pPr>
        <w:overflowPunct w:val="0"/>
        <w:spacing w:line="594" w:lineRule="exact"/>
        <w:ind w:firstLine="314" w:firstLineChars="10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474" w:bottom="1361" w:left="1474" w:header="851" w:footer="1361" w:gutter="0"/>
      <w:paperSrc/>
      <w:pgNumType w:start="5"/>
      <w:cols w:space="720" w:num="1"/>
      <w:rtlGutter w:val="0"/>
      <w:docGrid w:type="linesAndChars" w:linePitch="293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2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2C"/>
    <w:rsid w:val="000110D8"/>
    <w:rsid w:val="000269C5"/>
    <w:rsid w:val="00040697"/>
    <w:rsid w:val="00050A13"/>
    <w:rsid w:val="00075975"/>
    <w:rsid w:val="000E0988"/>
    <w:rsid w:val="000E7AB4"/>
    <w:rsid w:val="000F19D1"/>
    <w:rsid w:val="000F24CD"/>
    <w:rsid w:val="001044E1"/>
    <w:rsid w:val="001343C3"/>
    <w:rsid w:val="00140B4A"/>
    <w:rsid w:val="00144920"/>
    <w:rsid w:val="0015665E"/>
    <w:rsid w:val="00164C8B"/>
    <w:rsid w:val="00183B35"/>
    <w:rsid w:val="0019344F"/>
    <w:rsid w:val="00197DE5"/>
    <w:rsid w:val="001A4D86"/>
    <w:rsid w:val="001A79A5"/>
    <w:rsid w:val="001B4508"/>
    <w:rsid w:val="001B6733"/>
    <w:rsid w:val="001E1025"/>
    <w:rsid w:val="001E2C8C"/>
    <w:rsid w:val="001E7FD7"/>
    <w:rsid w:val="001F373D"/>
    <w:rsid w:val="001F51DD"/>
    <w:rsid w:val="00215E89"/>
    <w:rsid w:val="00226C39"/>
    <w:rsid w:val="0025678B"/>
    <w:rsid w:val="00262655"/>
    <w:rsid w:val="00267267"/>
    <w:rsid w:val="00281C14"/>
    <w:rsid w:val="00292069"/>
    <w:rsid w:val="002D0667"/>
    <w:rsid w:val="002E6D80"/>
    <w:rsid w:val="002F086C"/>
    <w:rsid w:val="002F1A38"/>
    <w:rsid w:val="00352B84"/>
    <w:rsid w:val="00353C9B"/>
    <w:rsid w:val="00364822"/>
    <w:rsid w:val="003835BE"/>
    <w:rsid w:val="00393318"/>
    <w:rsid w:val="003B37CD"/>
    <w:rsid w:val="003C53AE"/>
    <w:rsid w:val="003D783C"/>
    <w:rsid w:val="003E0BFD"/>
    <w:rsid w:val="003E70A9"/>
    <w:rsid w:val="003F3C8C"/>
    <w:rsid w:val="00423F93"/>
    <w:rsid w:val="00461005"/>
    <w:rsid w:val="00477349"/>
    <w:rsid w:val="00480A53"/>
    <w:rsid w:val="004A1A8C"/>
    <w:rsid w:val="004B5EC3"/>
    <w:rsid w:val="004C4C48"/>
    <w:rsid w:val="004D79F9"/>
    <w:rsid w:val="004F2062"/>
    <w:rsid w:val="005063D6"/>
    <w:rsid w:val="00526645"/>
    <w:rsid w:val="00532474"/>
    <w:rsid w:val="0056417C"/>
    <w:rsid w:val="00581EA8"/>
    <w:rsid w:val="005A2F74"/>
    <w:rsid w:val="005D1E50"/>
    <w:rsid w:val="005E7EBE"/>
    <w:rsid w:val="006524D5"/>
    <w:rsid w:val="00665B42"/>
    <w:rsid w:val="006A3512"/>
    <w:rsid w:val="006B1A8A"/>
    <w:rsid w:val="006C4EA7"/>
    <w:rsid w:val="006D2D6F"/>
    <w:rsid w:val="006D315E"/>
    <w:rsid w:val="0070019F"/>
    <w:rsid w:val="0072072C"/>
    <w:rsid w:val="0072295A"/>
    <w:rsid w:val="007506F5"/>
    <w:rsid w:val="007541D5"/>
    <w:rsid w:val="0076612C"/>
    <w:rsid w:val="0078014D"/>
    <w:rsid w:val="00791849"/>
    <w:rsid w:val="007924A6"/>
    <w:rsid w:val="007E0834"/>
    <w:rsid w:val="007E45D2"/>
    <w:rsid w:val="007E725C"/>
    <w:rsid w:val="007F6955"/>
    <w:rsid w:val="0081347F"/>
    <w:rsid w:val="00836F9B"/>
    <w:rsid w:val="008817F3"/>
    <w:rsid w:val="008A3B7E"/>
    <w:rsid w:val="008E2C19"/>
    <w:rsid w:val="009140DB"/>
    <w:rsid w:val="009247A9"/>
    <w:rsid w:val="00942EFA"/>
    <w:rsid w:val="009F7F8D"/>
    <w:rsid w:val="00A219A4"/>
    <w:rsid w:val="00A41590"/>
    <w:rsid w:val="00A57BBF"/>
    <w:rsid w:val="00A64F75"/>
    <w:rsid w:val="00A81045"/>
    <w:rsid w:val="00A91A33"/>
    <w:rsid w:val="00AC77D0"/>
    <w:rsid w:val="00AD57B3"/>
    <w:rsid w:val="00B11BF0"/>
    <w:rsid w:val="00B12415"/>
    <w:rsid w:val="00B35829"/>
    <w:rsid w:val="00B47C99"/>
    <w:rsid w:val="00B47F2E"/>
    <w:rsid w:val="00B523FC"/>
    <w:rsid w:val="00B7287E"/>
    <w:rsid w:val="00B77AE0"/>
    <w:rsid w:val="00B8240D"/>
    <w:rsid w:val="00B91212"/>
    <w:rsid w:val="00BB2D88"/>
    <w:rsid w:val="00BC0A23"/>
    <w:rsid w:val="00BE757E"/>
    <w:rsid w:val="00BF6101"/>
    <w:rsid w:val="00C27AA7"/>
    <w:rsid w:val="00C32104"/>
    <w:rsid w:val="00C53C16"/>
    <w:rsid w:val="00C61606"/>
    <w:rsid w:val="00C75CB0"/>
    <w:rsid w:val="00C872AB"/>
    <w:rsid w:val="00CA5011"/>
    <w:rsid w:val="00CD6EE3"/>
    <w:rsid w:val="00D035AE"/>
    <w:rsid w:val="00D33819"/>
    <w:rsid w:val="00D655DC"/>
    <w:rsid w:val="00D83D18"/>
    <w:rsid w:val="00D90F73"/>
    <w:rsid w:val="00D9303A"/>
    <w:rsid w:val="00D93C46"/>
    <w:rsid w:val="00DB6238"/>
    <w:rsid w:val="00DB753A"/>
    <w:rsid w:val="00E22465"/>
    <w:rsid w:val="00E36EFE"/>
    <w:rsid w:val="00E578C3"/>
    <w:rsid w:val="00E70D00"/>
    <w:rsid w:val="00E873D4"/>
    <w:rsid w:val="00EE741D"/>
    <w:rsid w:val="00F256C6"/>
    <w:rsid w:val="00F66C08"/>
    <w:rsid w:val="00F67B6A"/>
    <w:rsid w:val="00F75E8A"/>
    <w:rsid w:val="00F80412"/>
    <w:rsid w:val="00FA0766"/>
    <w:rsid w:val="00FB3A89"/>
    <w:rsid w:val="00FE4D8E"/>
    <w:rsid w:val="00FE7E7C"/>
    <w:rsid w:val="012B1B70"/>
    <w:rsid w:val="048C5C04"/>
    <w:rsid w:val="0661709A"/>
    <w:rsid w:val="086F522F"/>
    <w:rsid w:val="0F031A62"/>
    <w:rsid w:val="159A220E"/>
    <w:rsid w:val="167D0CC6"/>
    <w:rsid w:val="17B32A43"/>
    <w:rsid w:val="19615B49"/>
    <w:rsid w:val="1BCA3249"/>
    <w:rsid w:val="21212A7E"/>
    <w:rsid w:val="259F7956"/>
    <w:rsid w:val="282C165F"/>
    <w:rsid w:val="29A058DB"/>
    <w:rsid w:val="29CF3EB2"/>
    <w:rsid w:val="2AC81101"/>
    <w:rsid w:val="2C5D4207"/>
    <w:rsid w:val="2D1B7423"/>
    <w:rsid w:val="2FB307DD"/>
    <w:rsid w:val="36D9113E"/>
    <w:rsid w:val="36D97BCA"/>
    <w:rsid w:val="3C71593F"/>
    <w:rsid w:val="3D5321EB"/>
    <w:rsid w:val="3EB36EA2"/>
    <w:rsid w:val="43231D8A"/>
    <w:rsid w:val="4555641F"/>
    <w:rsid w:val="4AF4007D"/>
    <w:rsid w:val="4BCE4B49"/>
    <w:rsid w:val="4D84571A"/>
    <w:rsid w:val="51FC5E15"/>
    <w:rsid w:val="57446450"/>
    <w:rsid w:val="57AE1AA3"/>
    <w:rsid w:val="5914270E"/>
    <w:rsid w:val="5DB92EEF"/>
    <w:rsid w:val="5EAD2D84"/>
    <w:rsid w:val="5FAD0B6F"/>
    <w:rsid w:val="65426561"/>
    <w:rsid w:val="6CB1751C"/>
    <w:rsid w:val="6D764540"/>
    <w:rsid w:val="700D6012"/>
    <w:rsid w:val="71427197"/>
    <w:rsid w:val="733015E9"/>
    <w:rsid w:val="734C2CE0"/>
    <w:rsid w:val="73DB688B"/>
    <w:rsid w:val="74715BA0"/>
    <w:rsid w:val="75A532A1"/>
    <w:rsid w:val="762B2CD8"/>
    <w:rsid w:val="7E443E38"/>
    <w:rsid w:val="7F033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uiPriority w:val="99"/>
    <w:rPr>
      <w:b/>
      <w:bCs/>
    </w:rPr>
  </w:style>
  <w:style w:type="paragraph" w:styleId="3">
    <w:name w:val="annotation text"/>
    <w:basedOn w:val="1"/>
    <w:link w:val="20"/>
    <w:unhideWhenUsed/>
    <w:uiPriority w:val="99"/>
    <w:pPr>
      <w:jc w:val="left"/>
    </w:pPr>
    <w:rPr>
      <w:rFonts w:cs="Times New Roman"/>
    </w:rPr>
  </w:style>
  <w:style w:type="paragraph" w:styleId="4">
    <w:name w:val="Date"/>
    <w:basedOn w:val="1"/>
    <w:next w:val="1"/>
    <w:link w:val="23"/>
    <w:unhideWhenUsed/>
    <w:uiPriority w:val="99"/>
    <w:pPr>
      <w:ind w:left="100" w:leftChars="2500"/>
    </w:pPr>
    <w:rPr>
      <w:rFonts w:cs="Times New Roman"/>
    </w:rPr>
  </w:style>
  <w:style w:type="paragraph" w:styleId="5">
    <w:name w:val="Balloon Text"/>
    <w:basedOn w:val="1"/>
    <w:link w:val="21"/>
    <w:unhideWhenUsed/>
    <w:uiPriority w:val="99"/>
    <w:rPr>
      <w:rFonts w:cs="Times New Roman"/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8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uiPriority w:val="59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0"/>
    <w:basedOn w:val="1"/>
    <w:link w:val="19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5">
    <w:name w:val="列出段落2"/>
    <w:basedOn w:val="1"/>
    <w:qFormat/>
    <w:uiPriority w:val="34"/>
    <w:pPr>
      <w:ind w:firstLine="200" w:firstLineChars="200"/>
    </w:pPr>
    <w:rPr>
      <w:rFonts w:cs="Times New Roman"/>
      <w:szCs w:val="21"/>
    </w:rPr>
  </w:style>
  <w:style w:type="paragraph" w:customStyle="1" w:styleId="16">
    <w:name w:val="p0"/>
    <w:basedOn w:val="1"/>
    <w:uiPriority w:val="0"/>
    <w:pPr>
      <w:widowControl/>
    </w:pPr>
    <w:rPr>
      <w:rFonts w:ascii="Times New Roman" w:hAnsi="Times New Roman" w:cs="Times New Roman"/>
      <w:kern w:val="0"/>
      <w:sz w:val="32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批注主题 Char"/>
    <w:link w:val="2"/>
    <w:semiHidden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正文0 Char"/>
    <w:link w:val="14"/>
    <w:uiPriority w:val="0"/>
    <w:rPr>
      <w:rFonts w:ascii="Times New Roman" w:hAnsi="Times New Roman"/>
      <w:kern w:val="2"/>
      <w:sz w:val="24"/>
      <w:szCs w:val="24"/>
    </w:rPr>
  </w:style>
  <w:style w:type="character" w:customStyle="1" w:styleId="20">
    <w:name w:val="批注文字 Char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1">
    <w:name w:val="批注框文本 Char"/>
    <w:link w:val="5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dash6b636587char1"/>
    <w:uiPriority w:val="0"/>
    <w:rPr>
      <w:rFonts w:ascii="Times New Roman" w:hAnsi="Times New Roman" w:cs="Times New Roman"/>
    </w:rPr>
  </w:style>
  <w:style w:type="character" w:customStyle="1" w:styleId="23">
    <w:name w:val="日期 Char"/>
    <w:link w:val="4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4">
    <w:name w:val="页眉 Char"/>
    <w:link w:val="7"/>
    <w:uiPriority w:val="99"/>
    <w:rPr>
      <w:rFonts w:cs="黑体"/>
      <w:kern w:val="2"/>
      <w:sz w:val="18"/>
      <w:szCs w:val="18"/>
    </w:rPr>
  </w:style>
  <w:style w:type="character" w:customStyle="1" w:styleId="25">
    <w:name w:val="副标题 Char"/>
    <w:link w:val="8"/>
    <w:uiPriority w:val="0"/>
    <w:rPr>
      <w:rFonts w:ascii="Calibri Light" w:hAnsi="Calibri Light"/>
      <w:b/>
      <w:bCs/>
      <w:kern w:val="28"/>
      <w:sz w:val="32"/>
      <w:szCs w:val="32"/>
    </w:rPr>
  </w:style>
  <w:style w:type="character" w:customStyle="1" w:styleId="26">
    <w:name w:val="页脚 Char"/>
    <w:link w:val="6"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saic</Company>
  <Pages>43</Pages>
  <Words>3095</Words>
  <Characters>17645</Characters>
  <Lines>147</Lines>
  <Paragraphs>41</Paragraphs>
  <TotalTime>6</TotalTime>
  <ScaleCrop>false</ScaleCrop>
  <LinksUpToDate>false</LinksUpToDate>
  <CharactersWithSpaces>20699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2019-12-26T08:25:00Z</dcterms:created>
  <dc:creator>文学</dc:creator>
  <cp:lastModifiedBy>肖昕</cp:lastModifiedBy>
  <cp:lastPrinted>2020-01-19T01:37:39Z</cp:lastPrinted>
  <dcterms:modified xsi:type="dcterms:W3CDTF">2020-02-25T01:39:42Z</dcterms:modified>
  <dc:title>（格式2：规范性文件类议题）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