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412C" w:rsidRDefault="0018412C" w:rsidP="0018412C">
      <w:pPr>
        <w:pStyle w:val="aa"/>
        <w:shd w:val="clear" w:color="auto" w:fill="FFFFFF"/>
        <w:spacing w:before="0" w:beforeAutospacing="0" w:after="0" w:afterAutospacing="0" w:line="630" w:lineRule="atLeast"/>
        <w:jc w:val="center"/>
        <w:rPr>
          <w:rStyle w:val="ab"/>
          <w:rFonts w:hint="eastAsia"/>
          <w:color w:val="333333"/>
          <w:sz w:val="44"/>
          <w:szCs w:val="44"/>
        </w:rPr>
      </w:pPr>
    </w:p>
    <w:p w:rsidR="0018412C" w:rsidRDefault="0018412C" w:rsidP="0018412C">
      <w:pPr>
        <w:pStyle w:val="aa"/>
        <w:shd w:val="clear" w:color="auto" w:fill="FFFFFF"/>
        <w:spacing w:before="0" w:beforeAutospacing="0" w:after="0" w:afterAutospacing="0" w:line="630" w:lineRule="atLeast"/>
        <w:jc w:val="center"/>
        <w:rPr>
          <w:rFonts w:ascii="仿宋" w:eastAsia="仿宋" w:hAnsi="仿宋"/>
          <w:color w:val="333333"/>
          <w:sz w:val="32"/>
          <w:szCs w:val="32"/>
        </w:rPr>
      </w:pPr>
      <w:r>
        <w:rPr>
          <w:rStyle w:val="ab"/>
          <w:rFonts w:hint="eastAsia"/>
          <w:color w:val="333333"/>
          <w:sz w:val="44"/>
          <w:szCs w:val="44"/>
        </w:rPr>
        <w:t>国家食品药品监督管理总局行政复议办法</w:t>
      </w:r>
    </w:p>
    <w:p w:rsidR="0018412C" w:rsidRPr="0018412C" w:rsidRDefault="0018412C" w:rsidP="0018412C">
      <w:pPr>
        <w:pStyle w:val="aa"/>
        <w:shd w:val="clear" w:color="auto" w:fill="FFFFFF"/>
        <w:spacing w:before="0" w:beforeAutospacing="0" w:after="0" w:afterAutospacing="0" w:line="630" w:lineRule="atLeast"/>
        <w:ind w:firstLineChars="200" w:firstLine="560"/>
        <w:rPr>
          <w:rFonts w:ascii="楷体_GB2312" w:eastAsia="楷体_GB2312" w:hAnsi="仿宋" w:hint="eastAsia"/>
          <w:color w:val="333333"/>
          <w:sz w:val="32"/>
          <w:szCs w:val="32"/>
        </w:rPr>
      </w:pPr>
      <w:r w:rsidRPr="0018412C">
        <w:rPr>
          <w:rFonts w:ascii="楷体_GB2312" w:eastAsia="楷体_GB2312" w:hAnsi="仿宋" w:hint="eastAsia"/>
          <w:color w:val="333333"/>
          <w:sz w:val="28"/>
          <w:szCs w:val="28"/>
        </w:rPr>
        <w:t>（2013年11月6日国家食品药品监督管理总局令第2号公布 自2014年1月1日起施行）</w:t>
      </w:r>
    </w:p>
    <w:p w:rsidR="0018412C" w:rsidRDefault="0018412C" w:rsidP="0018412C">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hint="eastAsia"/>
          <w:color w:val="333333"/>
          <w:sz w:val="32"/>
          <w:szCs w:val="32"/>
        </w:rPr>
        <w:t> </w:t>
      </w:r>
    </w:p>
    <w:p w:rsidR="0018412C" w:rsidRDefault="0018412C" w:rsidP="0018412C">
      <w:pPr>
        <w:pStyle w:val="aa"/>
        <w:shd w:val="clear" w:color="auto" w:fill="FFFFFF"/>
        <w:spacing w:before="0" w:beforeAutospacing="0" w:after="0" w:afterAutospacing="0" w:line="630" w:lineRule="atLeast"/>
        <w:jc w:val="center"/>
        <w:rPr>
          <w:rFonts w:ascii="仿宋" w:eastAsia="仿宋" w:hAnsi="仿宋" w:hint="eastAsia"/>
          <w:color w:val="333333"/>
          <w:sz w:val="32"/>
          <w:szCs w:val="32"/>
        </w:rPr>
      </w:pPr>
      <w:r>
        <w:rPr>
          <w:rFonts w:ascii="黑体" w:eastAsia="黑体" w:hAnsi="黑体" w:hint="eastAsia"/>
          <w:color w:val="333333"/>
          <w:sz w:val="32"/>
          <w:szCs w:val="32"/>
        </w:rPr>
        <w:t>第一章　总　则</w:t>
      </w:r>
    </w:p>
    <w:p w:rsidR="0018412C" w:rsidRDefault="0018412C" w:rsidP="0018412C">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hint="eastAsia"/>
          <w:color w:val="333333"/>
          <w:sz w:val="32"/>
          <w:szCs w:val="32"/>
        </w:rPr>
        <w:t> </w:t>
      </w:r>
    </w:p>
    <w:p w:rsidR="0018412C" w:rsidRDefault="0018412C" w:rsidP="0018412C">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第一条</w:t>
      </w:r>
      <w:r>
        <w:rPr>
          <w:rFonts w:hint="eastAsia"/>
          <w:color w:val="333333"/>
          <w:sz w:val="32"/>
          <w:szCs w:val="32"/>
        </w:rPr>
        <w:t> </w:t>
      </w:r>
      <w:r>
        <w:rPr>
          <w:rFonts w:ascii="仿宋" w:eastAsia="仿宋" w:hAnsi="仿宋" w:hint="eastAsia"/>
          <w:color w:val="333333"/>
          <w:sz w:val="32"/>
          <w:szCs w:val="32"/>
        </w:rPr>
        <w:t>为规范和加强国家食品药品监督管理总局行政复议工作，根据《中华人民共和国行政复议法》（以下简称《行政复议法》）、《中华人民共和国行政复议法实施条例》（以下简称《行政复议法实施条例》），制定本办法。</w:t>
      </w:r>
    </w:p>
    <w:p w:rsidR="0018412C" w:rsidRDefault="0018412C" w:rsidP="0018412C">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第二条</w:t>
      </w:r>
      <w:r>
        <w:rPr>
          <w:rFonts w:hint="eastAsia"/>
          <w:color w:val="333333"/>
          <w:sz w:val="32"/>
          <w:szCs w:val="32"/>
        </w:rPr>
        <w:t> </w:t>
      </w:r>
      <w:r>
        <w:rPr>
          <w:rFonts w:ascii="仿宋" w:eastAsia="仿宋" w:hAnsi="仿宋" w:hint="eastAsia"/>
          <w:color w:val="333333"/>
          <w:sz w:val="32"/>
          <w:szCs w:val="32"/>
        </w:rPr>
        <w:t>依法向国家食品药品监督管理总局申请行政复议的案件，其受理、审理、决定等，适用本办法。</w:t>
      </w:r>
    </w:p>
    <w:p w:rsidR="0018412C" w:rsidRDefault="0018412C" w:rsidP="0018412C">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第三条</w:t>
      </w:r>
      <w:r>
        <w:rPr>
          <w:rFonts w:hint="eastAsia"/>
          <w:color w:val="333333"/>
          <w:sz w:val="32"/>
          <w:szCs w:val="32"/>
        </w:rPr>
        <w:t> </w:t>
      </w:r>
      <w:r>
        <w:rPr>
          <w:rFonts w:ascii="仿宋" w:eastAsia="仿宋" w:hAnsi="仿宋" w:hint="eastAsia"/>
          <w:color w:val="333333"/>
          <w:sz w:val="32"/>
          <w:szCs w:val="32"/>
        </w:rPr>
        <w:t>国家食品药品监督管理总局处理行政复议案件，应当遵循合法、公正、公开、及时、便民的原则，坚持有错必纠，保障法律、法规的正确实施。</w:t>
      </w:r>
    </w:p>
    <w:p w:rsidR="0018412C" w:rsidRDefault="0018412C" w:rsidP="0018412C">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第四条</w:t>
      </w:r>
      <w:r>
        <w:rPr>
          <w:rFonts w:hint="eastAsia"/>
          <w:color w:val="333333"/>
          <w:sz w:val="32"/>
          <w:szCs w:val="32"/>
        </w:rPr>
        <w:t> </w:t>
      </w:r>
      <w:r>
        <w:rPr>
          <w:rFonts w:ascii="仿宋" w:eastAsia="仿宋" w:hAnsi="仿宋" w:hint="eastAsia"/>
          <w:color w:val="333333"/>
          <w:sz w:val="32"/>
          <w:szCs w:val="32"/>
        </w:rPr>
        <w:t>本办法所称行政复议案件是指：</w:t>
      </w:r>
    </w:p>
    <w:p w:rsidR="0018412C" w:rsidRDefault="0018412C" w:rsidP="0018412C">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（一）不服国家食品药品监督管理总局及其委托的机构或者组织作出的具体行政行为而申请行政复议的案件；</w:t>
      </w:r>
    </w:p>
    <w:p w:rsidR="0018412C" w:rsidRDefault="0018412C" w:rsidP="0018412C">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lastRenderedPageBreak/>
        <w:t xml:space="preserve">　　（二）不服省、自治区、直辖市食品药品监督管理部门及其委托的机构或者组织作出的具体行政行为而申请行政复议的案件；</w:t>
      </w:r>
    </w:p>
    <w:p w:rsidR="0018412C" w:rsidRDefault="0018412C" w:rsidP="0018412C">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（三）其他依法由国家食品药品监督管理总局管辖的行政复议案件。</w:t>
      </w:r>
    </w:p>
    <w:p w:rsidR="0018412C" w:rsidRDefault="0018412C" w:rsidP="0018412C">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第五条</w:t>
      </w:r>
      <w:r>
        <w:rPr>
          <w:rFonts w:hint="eastAsia"/>
          <w:color w:val="333333"/>
          <w:sz w:val="32"/>
          <w:szCs w:val="32"/>
        </w:rPr>
        <w:t> </w:t>
      </w:r>
      <w:r>
        <w:rPr>
          <w:rFonts w:ascii="仿宋" w:eastAsia="仿宋" w:hAnsi="仿宋" w:hint="eastAsia"/>
          <w:color w:val="333333"/>
          <w:sz w:val="32"/>
          <w:szCs w:val="32"/>
        </w:rPr>
        <w:t>国家食品药品监督管理总局行政复议办公室（以下简称行政复议办公室）设在法制司，办理行政复议案件的具体事项，依法履行下列职责：</w:t>
      </w:r>
    </w:p>
    <w:p w:rsidR="0018412C" w:rsidRDefault="0018412C" w:rsidP="0018412C">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（一）对行政复议申请进行初步审查，决定是否受理；</w:t>
      </w:r>
    </w:p>
    <w:p w:rsidR="0018412C" w:rsidRDefault="0018412C" w:rsidP="0018412C">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（二）向有关组织和人员调查取证，查阅相关文件和资料；</w:t>
      </w:r>
    </w:p>
    <w:p w:rsidR="0018412C" w:rsidRDefault="0018412C" w:rsidP="0018412C">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（三）组织审理行政复议案件，提出审理建议，拟订行政复议决定；</w:t>
      </w:r>
    </w:p>
    <w:p w:rsidR="0018412C" w:rsidRDefault="0018412C" w:rsidP="0018412C">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（四）对被申请人违反《行政复议法》、《行政复议法实施条例》及本办法的行为提出处理建议；</w:t>
      </w:r>
    </w:p>
    <w:p w:rsidR="0018412C" w:rsidRDefault="0018412C" w:rsidP="0018412C">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（五）依照有关规定参与办理因不服行政复议决定提起行政诉讼的应诉事项；</w:t>
      </w:r>
    </w:p>
    <w:p w:rsidR="0018412C" w:rsidRDefault="0018412C" w:rsidP="0018412C">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（六）法律、行政法规规定的职责和国家食品药品监督管理总局规定的其他职责。</w:t>
      </w:r>
    </w:p>
    <w:p w:rsidR="0018412C" w:rsidRDefault="0018412C" w:rsidP="0018412C">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hint="eastAsia"/>
          <w:color w:val="333333"/>
          <w:sz w:val="32"/>
          <w:szCs w:val="32"/>
        </w:rPr>
        <w:t> </w:t>
      </w:r>
    </w:p>
    <w:p w:rsidR="0018412C" w:rsidRDefault="0018412C" w:rsidP="0018412C">
      <w:pPr>
        <w:pStyle w:val="aa"/>
        <w:shd w:val="clear" w:color="auto" w:fill="FFFFFF"/>
        <w:spacing w:before="0" w:beforeAutospacing="0" w:after="0" w:afterAutospacing="0" w:line="630" w:lineRule="atLeast"/>
        <w:jc w:val="center"/>
        <w:rPr>
          <w:rFonts w:ascii="仿宋" w:eastAsia="仿宋" w:hAnsi="仿宋" w:hint="eastAsia"/>
          <w:color w:val="333333"/>
          <w:sz w:val="32"/>
          <w:szCs w:val="32"/>
        </w:rPr>
      </w:pPr>
      <w:r>
        <w:rPr>
          <w:rFonts w:ascii="黑体" w:eastAsia="黑体" w:hAnsi="黑体" w:hint="eastAsia"/>
          <w:color w:val="333333"/>
          <w:sz w:val="32"/>
          <w:szCs w:val="32"/>
        </w:rPr>
        <w:lastRenderedPageBreak/>
        <w:t>第二章　申请和受理</w:t>
      </w:r>
    </w:p>
    <w:p w:rsidR="0018412C" w:rsidRDefault="0018412C" w:rsidP="0018412C">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hint="eastAsia"/>
          <w:color w:val="333333"/>
          <w:sz w:val="32"/>
          <w:szCs w:val="32"/>
        </w:rPr>
        <w:t> </w:t>
      </w:r>
    </w:p>
    <w:p w:rsidR="0018412C" w:rsidRDefault="0018412C" w:rsidP="0018412C">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第六条</w:t>
      </w:r>
      <w:r>
        <w:rPr>
          <w:rFonts w:hint="eastAsia"/>
          <w:color w:val="333333"/>
          <w:sz w:val="32"/>
          <w:szCs w:val="32"/>
        </w:rPr>
        <w:t> </w:t>
      </w:r>
      <w:r>
        <w:rPr>
          <w:rFonts w:ascii="仿宋" w:eastAsia="仿宋" w:hAnsi="仿宋" w:hint="eastAsia"/>
          <w:color w:val="333333"/>
          <w:sz w:val="32"/>
          <w:szCs w:val="32"/>
        </w:rPr>
        <w:t>向国家食品药品监督管理总局申请行政复议，应当符合下列条件：</w:t>
      </w:r>
    </w:p>
    <w:p w:rsidR="0018412C" w:rsidRDefault="0018412C" w:rsidP="0018412C">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（一）申请人是认为具体行政行为侵犯其合法权益的公民、法人或者其他组织；</w:t>
      </w:r>
    </w:p>
    <w:p w:rsidR="0018412C" w:rsidRDefault="0018412C" w:rsidP="0018412C">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（二）符合《行政复议法》第二章关于行政复议范围的规定；</w:t>
      </w:r>
    </w:p>
    <w:p w:rsidR="0018412C" w:rsidRDefault="0018412C" w:rsidP="0018412C">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（三）属于国家食品药品监督管理总局的职责范围；</w:t>
      </w:r>
    </w:p>
    <w:p w:rsidR="0018412C" w:rsidRDefault="0018412C" w:rsidP="0018412C">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（四）有明确的被申请人；</w:t>
      </w:r>
    </w:p>
    <w:p w:rsidR="0018412C" w:rsidRDefault="0018412C" w:rsidP="0018412C">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（五）有明确的请求事项和理由；</w:t>
      </w:r>
    </w:p>
    <w:p w:rsidR="0018412C" w:rsidRDefault="0018412C" w:rsidP="0018412C">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（六）申请人不服的具体行政行为已经客观存在；</w:t>
      </w:r>
    </w:p>
    <w:p w:rsidR="0018412C" w:rsidRDefault="0018412C" w:rsidP="0018412C">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（七）申请人认为被申请人不作为的，应当有申请人向被申请人提出申请的事实；</w:t>
      </w:r>
    </w:p>
    <w:p w:rsidR="0018412C" w:rsidRDefault="0018412C" w:rsidP="0018412C">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（八）未超过法定申请期限。</w:t>
      </w:r>
    </w:p>
    <w:p w:rsidR="0018412C" w:rsidRDefault="0018412C" w:rsidP="0018412C">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第七条</w:t>
      </w:r>
      <w:r>
        <w:rPr>
          <w:rFonts w:hint="eastAsia"/>
          <w:color w:val="333333"/>
          <w:sz w:val="32"/>
          <w:szCs w:val="32"/>
        </w:rPr>
        <w:t> </w:t>
      </w:r>
      <w:r>
        <w:rPr>
          <w:rFonts w:ascii="仿宋" w:eastAsia="仿宋" w:hAnsi="仿宋" w:hint="eastAsia"/>
          <w:color w:val="333333"/>
          <w:sz w:val="32"/>
          <w:szCs w:val="32"/>
        </w:rPr>
        <w:t>向国家食品药品监督管理总局申请行政复议，应当提交行政复议申请书（正、副本各一份）及有关证据材料。行政复议申请书应当载明申请人、被申请人、请求事项、事实和理由等内容。书面申请确有困难的，也可以口头提出复议申请，行政</w:t>
      </w:r>
      <w:r>
        <w:rPr>
          <w:rFonts w:ascii="仿宋" w:eastAsia="仿宋" w:hAnsi="仿宋" w:hint="eastAsia"/>
          <w:color w:val="333333"/>
          <w:sz w:val="32"/>
          <w:szCs w:val="32"/>
        </w:rPr>
        <w:lastRenderedPageBreak/>
        <w:t>复议办公室应当对口头申请的内容和情况制作笔录并由申请人签字。</w:t>
      </w:r>
    </w:p>
    <w:p w:rsidR="0018412C" w:rsidRDefault="0018412C" w:rsidP="0018412C">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第八条</w:t>
      </w:r>
      <w:r>
        <w:rPr>
          <w:rFonts w:hint="eastAsia"/>
          <w:color w:val="333333"/>
          <w:sz w:val="32"/>
          <w:szCs w:val="32"/>
        </w:rPr>
        <w:t> </w:t>
      </w:r>
      <w:r>
        <w:rPr>
          <w:rFonts w:ascii="仿宋" w:eastAsia="仿宋" w:hAnsi="仿宋" w:hint="eastAsia"/>
          <w:color w:val="333333"/>
          <w:sz w:val="32"/>
          <w:szCs w:val="32"/>
        </w:rPr>
        <w:t>行政复议办公室在收到行政复议申请后5个工作日内，按照本办法第六条规定的条件进行审查，符合条件的，依法予以受理；不符合条件的，决定不予受理，并书面告知申请人。</w:t>
      </w:r>
    </w:p>
    <w:p w:rsidR="0018412C" w:rsidRDefault="0018412C" w:rsidP="0018412C">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已向其他有权行政机关申请行政复议或者向人民法院提起行政诉讼，该有权行政机关或者人民法院已经依法受理的，国家食品药品监督管理总局不受理其行政复议申请。</w:t>
      </w:r>
    </w:p>
    <w:p w:rsidR="0018412C" w:rsidRDefault="0018412C" w:rsidP="0018412C">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第九条</w:t>
      </w:r>
      <w:r>
        <w:rPr>
          <w:rFonts w:hint="eastAsia"/>
          <w:color w:val="333333"/>
          <w:sz w:val="32"/>
          <w:szCs w:val="32"/>
        </w:rPr>
        <w:t> </w:t>
      </w:r>
      <w:r>
        <w:rPr>
          <w:rFonts w:ascii="仿宋" w:eastAsia="仿宋" w:hAnsi="仿宋" w:hint="eastAsia"/>
          <w:color w:val="333333"/>
          <w:sz w:val="32"/>
          <w:szCs w:val="32"/>
        </w:rPr>
        <w:t>行政复议办公室应当自行政复议申请受理之日起7个工作日内将行政复议答复通知书、行政复议申请书副本或者口头申请笔录复印件发送被申请人。被申请人应当在接到答复通知之日起10日内提交答复意见及有关证据材料。答复意见应当包括当初作出具体行政行为的事实根据和法律依据。</w:t>
      </w:r>
    </w:p>
    <w:p w:rsidR="0018412C" w:rsidRDefault="0018412C" w:rsidP="0018412C">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被申请人是国家食品药品监督管理总局的，由有关司局或者机构依前款提交答复意见。</w:t>
      </w:r>
    </w:p>
    <w:p w:rsidR="0018412C" w:rsidRDefault="0018412C" w:rsidP="0018412C">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hint="eastAsia"/>
          <w:color w:val="333333"/>
          <w:sz w:val="32"/>
          <w:szCs w:val="32"/>
        </w:rPr>
        <w:t> </w:t>
      </w:r>
    </w:p>
    <w:p w:rsidR="0018412C" w:rsidRDefault="0018412C" w:rsidP="0018412C">
      <w:pPr>
        <w:pStyle w:val="aa"/>
        <w:shd w:val="clear" w:color="auto" w:fill="FFFFFF"/>
        <w:spacing w:before="0" w:beforeAutospacing="0" w:after="0" w:afterAutospacing="0" w:line="630" w:lineRule="atLeast"/>
        <w:jc w:val="center"/>
        <w:rPr>
          <w:rFonts w:ascii="仿宋" w:eastAsia="仿宋" w:hAnsi="仿宋" w:hint="eastAsia"/>
          <w:color w:val="333333"/>
          <w:sz w:val="32"/>
          <w:szCs w:val="32"/>
        </w:rPr>
      </w:pPr>
      <w:r>
        <w:rPr>
          <w:rFonts w:ascii="黑体" w:eastAsia="黑体" w:hAnsi="黑体" w:hint="eastAsia"/>
          <w:color w:val="333333"/>
          <w:sz w:val="32"/>
          <w:szCs w:val="32"/>
        </w:rPr>
        <w:t>第三章　审　理</w:t>
      </w:r>
    </w:p>
    <w:p w:rsidR="0018412C" w:rsidRDefault="0018412C" w:rsidP="0018412C">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hint="eastAsia"/>
          <w:color w:val="333333"/>
          <w:sz w:val="32"/>
          <w:szCs w:val="32"/>
        </w:rPr>
        <w:t> </w:t>
      </w:r>
    </w:p>
    <w:p w:rsidR="0018412C" w:rsidRDefault="0018412C" w:rsidP="0018412C">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lastRenderedPageBreak/>
        <w:t xml:space="preserve">　　</w:t>
      </w:r>
      <w:r>
        <w:rPr>
          <w:rFonts w:ascii="黑体" w:eastAsia="黑体" w:hAnsi="黑体" w:hint="eastAsia"/>
          <w:color w:val="333333"/>
          <w:sz w:val="32"/>
          <w:szCs w:val="32"/>
        </w:rPr>
        <w:t>第十条</w:t>
      </w:r>
      <w:r>
        <w:rPr>
          <w:rFonts w:hint="eastAsia"/>
          <w:color w:val="333333"/>
          <w:sz w:val="32"/>
          <w:szCs w:val="32"/>
        </w:rPr>
        <w:t> </w:t>
      </w:r>
      <w:r>
        <w:rPr>
          <w:rFonts w:ascii="仿宋" w:eastAsia="仿宋" w:hAnsi="仿宋" w:hint="eastAsia"/>
          <w:color w:val="333333"/>
          <w:sz w:val="32"/>
          <w:szCs w:val="32"/>
        </w:rPr>
        <w:t>对已受理的行政复议申请，在审理时发现不符合本办法第六条规定的，国家食品药品监督管理总局决定驳回行政复议申请。</w:t>
      </w:r>
    </w:p>
    <w:p w:rsidR="0018412C" w:rsidRDefault="0018412C" w:rsidP="0018412C">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第十一条</w:t>
      </w:r>
      <w:r>
        <w:rPr>
          <w:rFonts w:hint="eastAsia"/>
          <w:color w:val="333333"/>
          <w:sz w:val="32"/>
          <w:szCs w:val="32"/>
        </w:rPr>
        <w:t> </w:t>
      </w:r>
      <w:r>
        <w:rPr>
          <w:rFonts w:ascii="仿宋" w:eastAsia="仿宋" w:hAnsi="仿宋" w:hint="eastAsia"/>
          <w:color w:val="333333"/>
          <w:sz w:val="32"/>
          <w:szCs w:val="32"/>
        </w:rPr>
        <w:t>审理行政复议案件，遇有下列情形之一的，可以决定中止审理：</w:t>
      </w:r>
    </w:p>
    <w:p w:rsidR="0018412C" w:rsidRDefault="0018412C" w:rsidP="0018412C">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（一）审理过程中，需要对被申请人作出具体行政行为的依据进行解释而国家食品药品监督管理总局无权解释的；</w:t>
      </w:r>
    </w:p>
    <w:p w:rsidR="0018412C" w:rsidRDefault="0018412C" w:rsidP="0018412C">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（二）申请人依据《行政复议法》第七条一并提出对具体行政行为所依据规定的审查申请，国家食品药品监督管理总局无权处理的；</w:t>
      </w:r>
    </w:p>
    <w:p w:rsidR="0018412C" w:rsidRDefault="0018412C" w:rsidP="0018412C">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（三）本案的审理须以相关案件的审理结果为依据，而相关案件尚未审结的；</w:t>
      </w:r>
    </w:p>
    <w:p w:rsidR="0018412C" w:rsidRDefault="0018412C" w:rsidP="0018412C">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（四）其他依法需要中止审理的。</w:t>
      </w:r>
    </w:p>
    <w:p w:rsidR="0018412C" w:rsidRDefault="0018412C" w:rsidP="0018412C">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按前款（一）、（二）项中止审理的，国家食品药品监督管理总局应当在7个工作日内按照法定程序转送有权机关处理。</w:t>
      </w:r>
    </w:p>
    <w:p w:rsidR="0018412C" w:rsidRDefault="0018412C" w:rsidP="0018412C">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中止审理的原因消除后，应当在5个工作日内决定恢复审理。</w:t>
      </w:r>
    </w:p>
    <w:p w:rsidR="0018412C" w:rsidRDefault="0018412C" w:rsidP="0018412C">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中止审理、恢复审理的决定由行政复议办公室作出，并书面通知当事人。</w:t>
      </w:r>
    </w:p>
    <w:p w:rsidR="0018412C" w:rsidRDefault="0018412C" w:rsidP="0018412C">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lastRenderedPageBreak/>
        <w:t xml:space="preserve">　　</w:t>
      </w:r>
      <w:r>
        <w:rPr>
          <w:rFonts w:ascii="黑体" w:eastAsia="黑体" w:hAnsi="黑体" w:hint="eastAsia"/>
          <w:color w:val="333333"/>
          <w:sz w:val="32"/>
          <w:szCs w:val="32"/>
        </w:rPr>
        <w:t>第十二条</w:t>
      </w:r>
      <w:r>
        <w:rPr>
          <w:rFonts w:hint="eastAsia"/>
          <w:color w:val="333333"/>
          <w:sz w:val="32"/>
          <w:szCs w:val="32"/>
        </w:rPr>
        <w:t> </w:t>
      </w:r>
      <w:r>
        <w:rPr>
          <w:rFonts w:ascii="仿宋" w:eastAsia="仿宋" w:hAnsi="仿宋" w:hint="eastAsia"/>
          <w:color w:val="333333"/>
          <w:sz w:val="32"/>
          <w:szCs w:val="32"/>
        </w:rPr>
        <w:t>行政复议审理过程中，申请人说明理由后撤回行政复议申请的，行政复议自行终止。</w:t>
      </w:r>
    </w:p>
    <w:p w:rsidR="0018412C" w:rsidRDefault="0018412C" w:rsidP="0018412C">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第十三条</w:t>
      </w:r>
      <w:r>
        <w:rPr>
          <w:rFonts w:hint="eastAsia"/>
          <w:color w:val="333333"/>
          <w:sz w:val="32"/>
          <w:szCs w:val="32"/>
        </w:rPr>
        <w:t> </w:t>
      </w:r>
      <w:r>
        <w:rPr>
          <w:rFonts w:ascii="仿宋" w:eastAsia="仿宋" w:hAnsi="仿宋" w:hint="eastAsia"/>
          <w:color w:val="333333"/>
          <w:sz w:val="32"/>
          <w:szCs w:val="32"/>
        </w:rPr>
        <w:t>审理行政复议案件，应当认真研究案卷，对当事人提供的证据进行调查、核实，必要时可以实地调查取证或者委托地方食品药品监督管理部门调查取证。</w:t>
      </w:r>
    </w:p>
    <w:p w:rsidR="0018412C" w:rsidRDefault="0018412C" w:rsidP="0018412C">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第十四条</w:t>
      </w:r>
      <w:r>
        <w:rPr>
          <w:rFonts w:hint="eastAsia"/>
          <w:color w:val="333333"/>
          <w:sz w:val="32"/>
          <w:szCs w:val="32"/>
        </w:rPr>
        <w:t> </w:t>
      </w:r>
      <w:r>
        <w:rPr>
          <w:rFonts w:ascii="仿宋" w:eastAsia="仿宋" w:hAnsi="仿宋" w:hint="eastAsia"/>
          <w:color w:val="333333"/>
          <w:sz w:val="32"/>
          <w:szCs w:val="32"/>
        </w:rPr>
        <w:t>申请人、第三人可以查阅被申请人提出的书面答复意见及作出具体行政行为的证据、依据和其他有关材料，但涉及国家秘密、商业秘密和个人隐私的除外。</w:t>
      </w:r>
    </w:p>
    <w:p w:rsidR="0018412C" w:rsidRDefault="0018412C" w:rsidP="0018412C">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第十五条</w:t>
      </w:r>
      <w:r>
        <w:rPr>
          <w:rFonts w:hint="eastAsia"/>
          <w:color w:val="333333"/>
          <w:sz w:val="32"/>
          <w:szCs w:val="32"/>
        </w:rPr>
        <w:t> </w:t>
      </w:r>
      <w:r>
        <w:rPr>
          <w:rFonts w:ascii="仿宋" w:eastAsia="仿宋" w:hAnsi="仿宋" w:hint="eastAsia"/>
          <w:color w:val="333333"/>
          <w:sz w:val="32"/>
          <w:szCs w:val="32"/>
        </w:rPr>
        <w:t>被申请人对其作出的具体行政行为承担举证责任，负责证明作出具体行政行为的事实根据和法律依据。</w:t>
      </w:r>
    </w:p>
    <w:p w:rsidR="0018412C" w:rsidRDefault="0018412C" w:rsidP="0018412C">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行政复议审理过程中，被申请人不得自行向申请人和其他组织或者个人收集证据。</w:t>
      </w:r>
    </w:p>
    <w:p w:rsidR="0018412C" w:rsidRDefault="0018412C" w:rsidP="0018412C">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第十六条</w:t>
      </w:r>
      <w:r>
        <w:rPr>
          <w:rFonts w:hint="eastAsia"/>
          <w:color w:val="333333"/>
          <w:sz w:val="32"/>
          <w:szCs w:val="32"/>
        </w:rPr>
        <w:t> </w:t>
      </w:r>
      <w:r>
        <w:rPr>
          <w:rFonts w:ascii="仿宋" w:eastAsia="仿宋" w:hAnsi="仿宋" w:hint="eastAsia"/>
          <w:color w:val="333333"/>
          <w:sz w:val="32"/>
          <w:szCs w:val="32"/>
        </w:rPr>
        <w:t>申请人对下列事项承担举证责任：</w:t>
      </w:r>
    </w:p>
    <w:p w:rsidR="0018412C" w:rsidRDefault="0018412C" w:rsidP="0018412C">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（一）证明行政复议申请符合法定条件，但被申请人认为申请人超过法定申请期限的除外；</w:t>
      </w:r>
    </w:p>
    <w:p w:rsidR="0018412C" w:rsidRDefault="0018412C" w:rsidP="0018412C">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（二）不服被申请人不作为的，证明其在行政程序中向被申请人提出申请的事实；</w:t>
      </w:r>
    </w:p>
    <w:p w:rsidR="0018412C" w:rsidRDefault="0018412C" w:rsidP="0018412C">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（三）一并提起行政赔偿申请的，证明其因被申请具体行政行为受到损害的事实；</w:t>
      </w:r>
    </w:p>
    <w:p w:rsidR="0018412C" w:rsidRDefault="0018412C" w:rsidP="0018412C">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lastRenderedPageBreak/>
        <w:t xml:space="preserve">　　（四）其他依法应当由申请人承担举证责任的事项。</w:t>
      </w:r>
    </w:p>
    <w:p w:rsidR="0018412C" w:rsidRDefault="0018412C" w:rsidP="0018412C">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hint="eastAsia"/>
          <w:color w:val="333333"/>
          <w:sz w:val="32"/>
          <w:szCs w:val="32"/>
        </w:rPr>
        <w:t> </w:t>
      </w:r>
    </w:p>
    <w:p w:rsidR="0018412C" w:rsidRDefault="0018412C" w:rsidP="0018412C">
      <w:pPr>
        <w:pStyle w:val="aa"/>
        <w:shd w:val="clear" w:color="auto" w:fill="FFFFFF"/>
        <w:spacing w:before="0" w:beforeAutospacing="0" w:after="0" w:afterAutospacing="0" w:line="630" w:lineRule="atLeast"/>
        <w:jc w:val="center"/>
        <w:rPr>
          <w:rFonts w:ascii="仿宋" w:eastAsia="仿宋" w:hAnsi="仿宋" w:hint="eastAsia"/>
          <w:color w:val="333333"/>
          <w:sz w:val="32"/>
          <w:szCs w:val="32"/>
        </w:rPr>
      </w:pPr>
      <w:r>
        <w:rPr>
          <w:rFonts w:ascii="黑体" w:eastAsia="黑体" w:hAnsi="黑体" w:hint="eastAsia"/>
          <w:color w:val="333333"/>
          <w:sz w:val="32"/>
          <w:szCs w:val="32"/>
        </w:rPr>
        <w:t>第四章　决　定</w:t>
      </w:r>
    </w:p>
    <w:p w:rsidR="0018412C" w:rsidRDefault="0018412C" w:rsidP="0018412C">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hint="eastAsia"/>
          <w:color w:val="333333"/>
          <w:sz w:val="32"/>
          <w:szCs w:val="32"/>
        </w:rPr>
        <w:t> </w:t>
      </w:r>
    </w:p>
    <w:p w:rsidR="0018412C" w:rsidRDefault="0018412C" w:rsidP="0018412C">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第十七条</w:t>
      </w:r>
      <w:r>
        <w:rPr>
          <w:rFonts w:hint="eastAsia"/>
          <w:color w:val="333333"/>
          <w:sz w:val="32"/>
          <w:szCs w:val="32"/>
        </w:rPr>
        <w:t> </w:t>
      </w:r>
      <w:r>
        <w:rPr>
          <w:rFonts w:ascii="仿宋" w:eastAsia="仿宋" w:hAnsi="仿宋" w:hint="eastAsia"/>
          <w:color w:val="333333"/>
          <w:sz w:val="32"/>
          <w:szCs w:val="32"/>
        </w:rPr>
        <w:t>行政复议办公室组织审理行政复议案件，有下列情形之一的，应当及时提交局长办公会议研究：</w:t>
      </w:r>
    </w:p>
    <w:p w:rsidR="0018412C" w:rsidRDefault="0018412C" w:rsidP="0018412C">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（一）对重大、复杂案件的行政复议决定；</w:t>
      </w:r>
    </w:p>
    <w:p w:rsidR="0018412C" w:rsidRDefault="0018412C" w:rsidP="0018412C">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（二）对申请人依照《行政复议法》第七条提出的对规范性文件的审查申请作出处理决定；</w:t>
      </w:r>
    </w:p>
    <w:p w:rsidR="0018412C" w:rsidRDefault="0018412C" w:rsidP="0018412C">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（三）对行政复议期间是否停止具体行政行为的执行作出决定；</w:t>
      </w:r>
    </w:p>
    <w:p w:rsidR="0018412C" w:rsidRDefault="0018412C" w:rsidP="0018412C">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（四）应当提交局长办公会议决定的其他事项。</w:t>
      </w:r>
    </w:p>
    <w:p w:rsidR="0018412C" w:rsidRDefault="0018412C" w:rsidP="0018412C">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第十八条</w:t>
      </w:r>
      <w:r>
        <w:rPr>
          <w:rFonts w:hint="eastAsia"/>
          <w:color w:val="333333"/>
          <w:sz w:val="32"/>
          <w:szCs w:val="32"/>
        </w:rPr>
        <w:t> </w:t>
      </w:r>
      <w:r>
        <w:rPr>
          <w:rFonts w:ascii="仿宋" w:eastAsia="仿宋" w:hAnsi="仿宋" w:hint="eastAsia"/>
          <w:color w:val="333333"/>
          <w:sz w:val="32"/>
          <w:szCs w:val="32"/>
        </w:rPr>
        <w:t>依照本办法第十七条规定应当由局长办公会议研究的行政复议案件，局长办公会议应当按照《行政复议法》第二十八条的规定，就具体行政行为的合法性、合理性及是否予以维持、撤销、变更等作出决定，由行政复议办公室根据局长办公会议的意见拟订行政复议决定书，按程序获得批准后，送达行政复议当事人。</w:t>
      </w:r>
    </w:p>
    <w:p w:rsidR="0018412C" w:rsidRDefault="0018412C" w:rsidP="0018412C">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lastRenderedPageBreak/>
        <w:t xml:space="preserve">　　</w:t>
      </w:r>
      <w:r>
        <w:rPr>
          <w:rFonts w:ascii="黑体" w:eastAsia="黑体" w:hAnsi="黑体" w:hint="eastAsia"/>
          <w:color w:val="333333"/>
          <w:sz w:val="32"/>
          <w:szCs w:val="32"/>
        </w:rPr>
        <w:t>第十九条</w:t>
      </w:r>
      <w:r>
        <w:rPr>
          <w:rFonts w:hint="eastAsia"/>
          <w:color w:val="333333"/>
          <w:sz w:val="32"/>
          <w:szCs w:val="32"/>
        </w:rPr>
        <w:t> </w:t>
      </w:r>
      <w:r>
        <w:rPr>
          <w:rFonts w:ascii="仿宋" w:eastAsia="仿宋" w:hAnsi="仿宋" w:hint="eastAsia"/>
          <w:color w:val="333333"/>
          <w:sz w:val="32"/>
          <w:szCs w:val="32"/>
        </w:rPr>
        <w:t>依照本办法规定不需要经局长办公会议研究的行政复议案件，由行政复议办公室按照《行政复议法》第二十八条的规定提出审理意见，拟订行政复议决定书，按程序获得批准后，送达行政复议当事人。</w:t>
      </w:r>
    </w:p>
    <w:p w:rsidR="0018412C" w:rsidRDefault="0018412C" w:rsidP="0018412C">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第二十条</w:t>
      </w:r>
      <w:r>
        <w:rPr>
          <w:rFonts w:hint="eastAsia"/>
          <w:color w:val="333333"/>
          <w:sz w:val="32"/>
          <w:szCs w:val="32"/>
        </w:rPr>
        <w:t> </w:t>
      </w:r>
      <w:r>
        <w:rPr>
          <w:rFonts w:ascii="仿宋" w:eastAsia="仿宋" w:hAnsi="仿宋" w:hint="eastAsia"/>
          <w:color w:val="333333"/>
          <w:sz w:val="32"/>
          <w:szCs w:val="32"/>
        </w:rPr>
        <w:t>有下列情形之一的，可以依据本办法第十八条、第十九条规定的程序作出确认具体行政行为无效或者违法的复议决定：</w:t>
      </w:r>
    </w:p>
    <w:p w:rsidR="0018412C" w:rsidRDefault="0018412C" w:rsidP="0018412C">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（一）被申请人不履行法定职责，但决定责令其履行法定职责已无意义的；</w:t>
      </w:r>
    </w:p>
    <w:p w:rsidR="0018412C" w:rsidRDefault="0018412C" w:rsidP="0018412C">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（二）被申请人的具体行政行为不合法或者明显不当，但不具有可撤销内容的；</w:t>
      </w:r>
    </w:p>
    <w:p w:rsidR="0018412C" w:rsidRDefault="0018412C" w:rsidP="0018412C">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（三）被申请人的具体行政行为无效的。</w:t>
      </w:r>
    </w:p>
    <w:p w:rsidR="0018412C" w:rsidRDefault="0018412C" w:rsidP="0018412C">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hint="eastAsia"/>
          <w:color w:val="333333"/>
          <w:sz w:val="32"/>
          <w:szCs w:val="32"/>
        </w:rPr>
        <w:t> </w:t>
      </w:r>
    </w:p>
    <w:p w:rsidR="0018412C" w:rsidRDefault="0018412C" w:rsidP="0018412C">
      <w:pPr>
        <w:pStyle w:val="aa"/>
        <w:shd w:val="clear" w:color="auto" w:fill="FFFFFF"/>
        <w:spacing w:before="0" w:beforeAutospacing="0" w:after="0" w:afterAutospacing="0" w:line="630" w:lineRule="atLeast"/>
        <w:jc w:val="center"/>
        <w:rPr>
          <w:rFonts w:ascii="仿宋" w:eastAsia="仿宋" w:hAnsi="仿宋" w:hint="eastAsia"/>
          <w:color w:val="333333"/>
          <w:sz w:val="32"/>
          <w:szCs w:val="32"/>
        </w:rPr>
      </w:pPr>
      <w:r>
        <w:rPr>
          <w:rFonts w:ascii="黑体" w:eastAsia="黑体" w:hAnsi="黑体" w:hint="eastAsia"/>
          <w:color w:val="333333"/>
          <w:sz w:val="32"/>
          <w:szCs w:val="32"/>
        </w:rPr>
        <w:t>第五章　附　则</w:t>
      </w:r>
    </w:p>
    <w:p w:rsidR="0018412C" w:rsidRDefault="0018412C" w:rsidP="0018412C">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hint="eastAsia"/>
          <w:color w:val="333333"/>
          <w:sz w:val="32"/>
          <w:szCs w:val="32"/>
        </w:rPr>
        <w:t> </w:t>
      </w:r>
    </w:p>
    <w:p w:rsidR="0018412C" w:rsidRDefault="0018412C" w:rsidP="0018412C">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第二十一条</w:t>
      </w:r>
      <w:r>
        <w:rPr>
          <w:rFonts w:hint="eastAsia"/>
          <w:color w:val="333333"/>
          <w:sz w:val="32"/>
          <w:szCs w:val="32"/>
        </w:rPr>
        <w:t> </w:t>
      </w:r>
      <w:r>
        <w:rPr>
          <w:rFonts w:ascii="仿宋" w:eastAsia="仿宋" w:hAnsi="仿宋" w:hint="eastAsia"/>
          <w:color w:val="333333"/>
          <w:sz w:val="32"/>
          <w:szCs w:val="32"/>
        </w:rPr>
        <w:t>国家食品药品监督管理总局受理行政复议申请不得向当事人收取任何费用，所需经费由国家食品药品监督管理总局专项列支。</w:t>
      </w:r>
    </w:p>
    <w:p w:rsidR="0018412C" w:rsidRDefault="0018412C" w:rsidP="0018412C">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lastRenderedPageBreak/>
        <w:t xml:space="preserve">　　</w:t>
      </w:r>
      <w:r>
        <w:rPr>
          <w:rFonts w:ascii="黑体" w:eastAsia="黑体" w:hAnsi="黑体" w:hint="eastAsia"/>
          <w:color w:val="333333"/>
          <w:sz w:val="32"/>
          <w:szCs w:val="32"/>
        </w:rPr>
        <w:t>第二十二条</w:t>
      </w:r>
      <w:r>
        <w:rPr>
          <w:rFonts w:hint="eastAsia"/>
          <w:color w:val="333333"/>
          <w:sz w:val="32"/>
          <w:szCs w:val="32"/>
        </w:rPr>
        <w:t> </w:t>
      </w:r>
      <w:r>
        <w:rPr>
          <w:rFonts w:ascii="仿宋" w:eastAsia="仿宋" w:hAnsi="仿宋" w:hint="eastAsia"/>
          <w:color w:val="333333"/>
          <w:sz w:val="32"/>
          <w:szCs w:val="32"/>
        </w:rPr>
        <w:t>本办法自2014年1月1日起施行。2002年8月5日发布的《国家药品监督管理局行政复议暂行办法》（原国家药品监督管理局令第34号）同时废止。</w:t>
      </w:r>
    </w:p>
    <w:p w:rsidR="00891FFC" w:rsidRPr="0018412C" w:rsidRDefault="00891FFC" w:rsidP="0018412C"/>
    <w:sectPr w:rsidR="00891FFC" w:rsidRPr="0018412C">
      <w:headerReference w:type="even" r:id="rId8"/>
      <w:headerReference w:type="default" r:id="rId9"/>
      <w:footerReference w:type="even" r:id="rId10"/>
      <w:footerReference w:type="default" r:id="rId11"/>
      <w:headerReference w:type="first" r:id="rId12"/>
      <w:footerReference w:type="first" r:id="rId13"/>
      <w:pgSz w:w="11906" w:h="16838"/>
      <w:pgMar w:top="1962" w:right="1474" w:bottom="1848" w:left="1587" w:header="851" w:footer="992" w:gutter="0"/>
      <w:pgNumType w:fmt="numberInDash"/>
      <w:cols w:space="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004F" w:rsidRDefault="00E6004F">
      <w:r>
        <w:separator/>
      </w:r>
    </w:p>
  </w:endnote>
  <w:endnote w:type="continuationSeparator" w:id="0">
    <w:p w:rsidR="00E6004F" w:rsidRDefault="00E600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412C" w:rsidRDefault="0018412C">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1FFC" w:rsidRDefault="00D7266E">
    <w:pPr>
      <w:pStyle w:val="a6"/>
      <w:pBdr>
        <w:left w:val="none" w:sz="0" w:space="0" w:color="auto"/>
      </w:pBdr>
      <w:tabs>
        <w:tab w:val="left" w:pos="6522"/>
      </w:tabs>
      <w:ind w:leftChars="742" w:left="1558" w:firstLineChars="2000" w:firstLine="6400"/>
      <w:rPr>
        <w:rFonts w:eastAsia="仿宋"/>
        <w:sz w:val="32"/>
        <w:szCs w:val="48"/>
      </w:rPr>
    </w:pPr>
    <w:r>
      <w:rPr>
        <w:noProof/>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891FFC" w:rsidRDefault="00D7266E">
                          <w:pPr>
                            <w:pStyle w:val="a5"/>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18412C">
                            <w:rPr>
                              <w:rFonts w:ascii="宋体" w:eastAsia="宋体" w:hAnsi="宋体" w:cs="宋体"/>
                              <w:noProof/>
                              <w:sz w:val="28"/>
                              <w:szCs w:val="28"/>
                            </w:rPr>
                            <w:t>- 1 -</w:t>
                          </w:r>
                          <w:r>
                            <w:rPr>
                              <w:rFonts w:ascii="宋体" w:eastAsia="宋体" w:hAnsi="宋体" w:cs="宋体"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8" o:spid="_x0000_s1026" type="#_x0000_t202" style="position:absolute;left:0;text-align:left;margin-left:92.8pt;margin-top:0;width:2in;height:2in;z-index:251661312;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gYdD+GACAAAKBQAADgAAAAAAAAAAAAAAAAAuAgAAZHJzL2Uyb0RvYy54bWxQ&#10;SwECLQAUAAYACAAAACEAcarRudcAAAAFAQAADwAAAAAAAAAAAAAAAAC6BAAAZHJzL2Rvd25yZXYu&#10;eG1sUEsFBgAAAAAEAAQA8wAAAL4FAAAAAA==&#10;" filled="f" stroked="f" strokeweight=".5pt">
              <v:textbox style="mso-fit-shape-to-text:t" inset="0,0,0,0">
                <w:txbxContent>
                  <w:p w:rsidR="00891FFC" w:rsidRDefault="00D7266E">
                    <w:pPr>
                      <w:pStyle w:val="a5"/>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18412C">
                      <w:rPr>
                        <w:rFonts w:ascii="宋体" w:eastAsia="宋体" w:hAnsi="宋体" w:cs="宋体"/>
                        <w:noProof/>
                        <w:sz w:val="28"/>
                        <w:szCs w:val="28"/>
                      </w:rPr>
                      <w:t>- 1 -</w:t>
                    </w:r>
                    <w:r>
                      <w:rPr>
                        <w:rFonts w:ascii="宋体" w:eastAsia="宋体" w:hAnsi="宋体" w:cs="宋体" w:hint="eastAsia"/>
                        <w:sz w:val="28"/>
                        <w:szCs w:val="28"/>
                      </w:rPr>
                      <w:fldChar w:fldCharType="end"/>
                    </w:r>
                  </w:p>
                </w:txbxContent>
              </v:textbox>
              <w10:wrap anchorx="margin"/>
            </v:shape>
          </w:pict>
        </mc:Fallback>
      </mc:AlternateContent>
    </w:r>
    <w:r>
      <w:rPr>
        <w:rFonts w:eastAsia="仿宋" w:hint="eastAsia"/>
        <w:sz w:val="32"/>
        <w:szCs w:val="48"/>
      </w:rPr>
      <w:tab/>
    </w:r>
    <w:r>
      <w:rPr>
        <w:rFonts w:eastAsia="仿宋" w:hint="eastAsia"/>
        <w:sz w:val="32"/>
        <w:szCs w:val="48"/>
      </w:rPr>
      <w:tab/>
    </w:r>
    <w:r>
      <w:rPr>
        <w:rFonts w:eastAsia="仿宋" w:hint="eastAsia"/>
        <w:sz w:val="32"/>
        <w:szCs w:val="48"/>
      </w:rPr>
      <w:tab/>
      <w:t xml:space="preserve">  </w:t>
    </w:r>
  </w:p>
  <w:p w:rsidR="00891FFC" w:rsidRDefault="00D7266E">
    <w:pPr>
      <w:pStyle w:val="a6"/>
      <w:pBdr>
        <w:left w:val="none" w:sz="0" w:space="0" w:color="auto"/>
      </w:pBdr>
      <w:wordWrap w:val="0"/>
      <w:ind w:leftChars="742" w:left="1558" w:rightChars="26" w:right="55" w:firstLine="2"/>
      <w:jc w:val="right"/>
      <w:rPr>
        <w:rFonts w:eastAsia="仿宋"/>
        <w:color w:val="FAFAFA"/>
        <w:sz w:val="32"/>
        <w:szCs w:val="48"/>
      </w:rPr>
    </w:pPr>
    <w:r>
      <w:rPr>
        <w:noProof/>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xmlns:w15="http://schemas.microsoft.com/office/word/2012/wordml">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zp6XR1AAA&#10;AAYBAAAPAAAAAAAAAAEAIAAAACIAAABkcnMvZG93bnJldi54bWxQSwECFAAUAAAACACHTuJA8DYt&#10;KekBAAC1AwAADgAAAAAAAAABACAAAAAjAQAAZHJzL2Uyb0RvYy54bWxQSwUGAAAAAAYABgBZAQAA&#10;fgUAAAAA&#10;">
              <v:fill on="f" focussize="0,0"/>
              <v:stroke weight="1.75pt" color="#005192 [3204]" miterlimit="8" joinstyle="miter"/>
              <v:imagedata o:title=""/>
              <o:lock v:ext="edit" aspectratio="f"/>
            </v:line>
          </w:pict>
        </mc:Fallback>
      </mc:AlternateContent>
    </w:r>
    <w:r>
      <w:rPr>
        <w:rFonts w:eastAsia="仿宋" w:hint="eastAsia"/>
        <w:color w:val="FAFAFA"/>
        <w:sz w:val="32"/>
        <w:szCs w:val="48"/>
      </w:rPr>
      <w:t>X</w:t>
    </w:r>
  </w:p>
  <w:p w:rsidR="00891FFC" w:rsidRDefault="0018412C">
    <w:pPr>
      <w:pStyle w:val="a6"/>
      <w:pBdr>
        <w:left w:val="none" w:sz="0" w:space="0" w:color="auto"/>
      </w:pBdr>
      <w:tabs>
        <w:tab w:val="clear" w:pos="8306"/>
        <w:tab w:val="right" w:pos="1560"/>
      </w:tabs>
      <w:wordWrap w:val="0"/>
      <w:ind w:leftChars="742" w:left="1558" w:rightChars="229" w:right="481" w:firstLine="2"/>
      <w:jc w:val="right"/>
      <w:rPr>
        <w:rFonts w:ascii="宋体" w:eastAsia="宋体" w:hAnsi="宋体" w:cs="宋体"/>
        <w:b/>
        <w:bCs/>
        <w:color w:val="005192"/>
        <w:sz w:val="28"/>
        <w:szCs w:val="44"/>
      </w:rPr>
    </w:pPr>
    <w:r>
      <w:rPr>
        <w:rFonts w:ascii="宋体" w:eastAsia="宋体" w:hAnsi="宋体" w:cs="宋体" w:hint="eastAsia"/>
        <w:b/>
        <w:bCs/>
        <w:color w:val="005192"/>
        <w:sz w:val="28"/>
        <w:szCs w:val="44"/>
      </w:rPr>
      <w:t>国家食品药品监督管理</w:t>
    </w:r>
    <w:bookmarkStart w:id="0" w:name="_GoBack"/>
    <w:bookmarkEnd w:id="0"/>
    <w:r w:rsidR="00D7266E">
      <w:rPr>
        <w:rFonts w:ascii="宋体" w:eastAsia="宋体" w:hAnsi="宋体" w:cs="宋体" w:hint="eastAsia"/>
        <w:b/>
        <w:bCs/>
        <w:color w:val="005192"/>
        <w:sz w:val="28"/>
        <w:szCs w:val="44"/>
      </w:rPr>
      <w:t>总局发布</w:t>
    </w:r>
  </w:p>
  <w:p w:rsidR="00891FFC" w:rsidRDefault="00891FFC">
    <w:pPr>
      <w:pStyle w:val="a6"/>
      <w:pBdr>
        <w:left w:val="none" w:sz="0" w:space="0" w:color="auto"/>
      </w:pBdr>
      <w:wordWrap w:val="0"/>
      <w:ind w:leftChars="2280" w:left="4788" w:firstLineChars="2000" w:firstLine="5622"/>
      <w:jc w:val="right"/>
      <w:rPr>
        <w:rFonts w:ascii="宋体" w:eastAsia="宋体" w:hAnsi="宋体" w:cs="宋体"/>
        <w:b/>
        <w:bCs/>
        <w:color w:val="005192"/>
        <w:sz w:val="28"/>
        <w:szCs w:val="4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412C" w:rsidRDefault="0018412C">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004F" w:rsidRDefault="00E6004F">
      <w:r>
        <w:separator/>
      </w:r>
    </w:p>
  </w:footnote>
  <w:footnote w:type="continuationSeparator" w:id="0">
    <w:p w:rsidR="00E6004F" w:rsidRDefault="00E600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412C" w:rsidRDefault="0018412C">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1FFC" w:rsidRDefault="00D7266E">
    <w:pPr>
      <w:pStyle w:val="a6"/>
      <w:textAlignment w:val="center"/>
      <w:rPr>
        <w:rFonts w:ascii="宋体" w:eastAsia="宋体" w:hAnsi="宋体" w:cs="宋体"/>
        <w:b/>
        <w:bCs/>
        <w:color w:val="005192"/>
        <w:sz w:val="32"/>
      </w:rPr>
    </w:pPr>
    <w:r>
      <w:rPr>
        <w:rFonts w:ascii="宋体" w:eastAsia="宋体" w:hAnsi="宋体" w:cs="宋体" w:hint="eastAsia"/>
        <w:b/>
        <w:bCs/>
        <w:noProof/>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xmlns:w15="http://schemas.microsoft.com/office/word/2012/wordml">
          <w:pict>
            <v:line id="_x0000_s1026" o:spid="_x0000_s1026" o:spt="20" style="position:absolute;left:0pt;margin-left:-0.3pt;margin-top:54.35pt;height:0pt;width:442.55pt;z-index:251659264;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Be67HvIBAAC9AwAADgAAAGRycy9lMm9Eb2MueG1srVNNjtMw&#10;FN4jcQfLe5o005YSNZ3FVMMGQSXgAK5jJ5b8Jz9P016CCyCxgxVL9tyG4Rg8O2EG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64x/AB4kvhDElBQ7WyiT6r2fEVROyLpb9L0rJ110rrfIXakqGhFX4JmqEvJfoB&#10;Q+ORG9iOEqY7NDyPIUOC06pN2xMQhO5wpQM5smSTcjl/USXS2O6vstR7x6Af63JqNJBREd+EVgY5&#10;l+mbdmuLIEm6UawUHVx7zhrmdbzV3GZyYLLNn/O8+/7VbX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1EdA1tUAAAAJAQAADwAAAAAAAAABACAAAAAiAAAAZHJzL2Rvd25yZXYueG1sUEsBAhQAFAAA&#10;AAgAh07iQAXuux7yAQAAvQMAAA4AAAAAAAAAAQAgAAAAJAEAAGRycy9lMm9Eb2MueG1sUEsFBgAA&#10;AAAGAAYAWQEAAIgFAAAAAA==&#10;">
              <v:fill on="f" focussize="0,0"/>
              <v:stroke weight="1.75pt" color="#005192 [3204]" miterlimit="8" joinstyle="miter"/>
              <v:imagedata o:title=""/>
              <o:lock v:ext="edit" aspectratio="f"/>
            </v:line>
          </w:pict>
        </mc:Fallback>
      </mc:AlternateContent>
    </w:r>
  </w:p>
  <w:p w:rsidR="00891FFC" w:rsidRDefault="00D7266E">
    <w:pPr>
      <w:pStyle w:val="a6"/>
      <w:textAlignment w:val="center"/>
      <w:rPr>
        <w:rFonts w:ascii="宋体" w:eastAsia="宋体" w:hAnsi="宋体" w:cs="宋体"/>
        <w:b/>
        <w:bCs/>
        <w:color w:val="005192"/>
        <w:sz w:val="32"/>
        <w:szCs w:val="32"/>
      </w:rPr>
    </w:pPr>
    <w:r>
      <w:rPr>
        <w:rFonts w:ascii="宋体" w:eastAsia="宋体" w:hAnsi="宋体" w:cs="宋体" w:hint="eastAsia"/>
        <w:b/>
        <w:bCs/>
        <w:noProof/>
        <w:color w:val="005192"/>
        <w:sz w:val="32"/>
      </w:rPr>
      <w:drawing>
        <wp:inline distT="0" distB="0" distL="114300" distR="114300">
          <wp:extent cx="308610" cy="308610"/>
          <wp:effectExtent l="0" t="0" r="11430" b="11430"/>
          <wp:docPr id="1" name="图片 1"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ascii="宋体" w:eastAsia="宋体" w:hAnsi="宋体" w:cs="宋体" w:hint="eastAsia"/>
        <w:b/>
        <w:bCs/>
        <w:color w:val="005192"/>
        <w:sz w:val="32"/>
      </w:rPr>
      <w:t>国家市场监督管理总局</w:t>
    </w:r>
    <w:r>
      <w:rPr>
        <w:rFonts w:ascii="宋体" w:eastAsia="宋体" w:hAnsi="宋体" w:cs="宋体" w:hint="eastAsia"/>
        <w:b/>
        <w:bCs/>
        <w:color w:val="005192"/>
        <w:sz w:val="32"/>
        <w:szCs w:val="32"/>
      </w:rPr>
      <w:t>规章</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412C" w:rsidRDefault="0018412C">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90A43"/>
    <w:rsid w:val="000F7C3B"/>
    <w:rsid w:val="00172A27"/>
    <w:rsid w:val="0018412C"/>
    <w:rsid w:val="00190F0F"/>
    <w:rsid w:val="00637CAC"/>
    <w:rsid w:val="00750507"/>
    <w:rsid w:val="00891FFC"/>
    <w:rsid w:val="00915729"/>
    <w:rsid w:val="00960532"/>
    <w:rsid w:val="009D125D"/>
    <w:rsid w:val="00AC5533"/>
    <w:rsid w:val="00B900B7"/>
    <w:rsid w:val="00BA7A05"/>
    <w:rsid w:val="00C26E20"/>
    <w:rsid w:val="00D7266E"/>
    <w:rsid w:val="00E6004F"/>
    <w:rsid w:val="00F1250C"/>
    <w:rsid w:val="00FB339E"/>
    <w:rsid w:val="019E71BD"/>
    <w:rsid w:val="04B679C3"/>
    <w:rsid w:val="080F63D8"/>
    <w:rsid w:val="09341458"/>
    <w:rsid w:val="0B0912D7"/>
    <w:rsid w:val="152D2DCA"/>
    <w:rsid w:val="1DEC284C"/>
    <w:rsid w:val="1E6523AC"/>
    <w:rsid w:val="1F361A96"/>
    <w:rsid w:val="22440422"/>
    <w:rsid w:val="25117842"/>
    <w:rsid w:val="31A15F24"/>
    <w:rsid w:val="395347B5"/>
    <w:rsid w:val="39A232A0"/>
    <w:rsid w:val="39E745AA"/>
    <w:rsid w:val="3B5A6BBB"/>
    <w:rsid w:val="3EDA13A6"/>
    <w:rsid w:val="42F058B7"/>
    <w:rsid w:val="436109F6"/>
    <w:rsid w:val="441A38D4"/>
    <w:rsid w:val="49D91622"/>
    <w:rsid w:val="4BC77339"/>
    <w:rsid w:val="4C9236C5"/>
    <w:rsid w:val="505C172E"/>
    <w:rsid w:val="512207F0"/>
    <w:rsid w:val="52F46F0B"/>
    <w:rsid w:val="53D8014D"/>
    <w:rsid w:val="55E064E0"/>
    <w:rsid w:val="572C6D10"/>
    <w:rsid w:val="5DC34279"/>
    <w:rsid w:val="608816D1"/>
    <w:rsid w:val="60EF4E7F"/>
    <w:rsid w:val="665233C1"/>
    <w:rsid w:val="6AD9688B"/>
    <w:rsid w:val="6D0E3F22"/>
    <w:rsid w:val="7C9011D9"/>
    <w:rsid w:val="7DC651C5"/>
    <w:rsid w:val="7FCC28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Balloon Text"/>
    <w:basedOn w:val="a"/>
    <w:link w:val="Char"/>
    <w:rPr>
      <w:sz w:val="18"/>
      <w:szCs w:val="18"/>
    </w:rPr>
  </w:style>
  <w:style w:type="paragraph" w:styleId="a5">
    <w:name w:val="footer"/>
    <w:basedOn w:val="a"/>
    <w:qFormat/>
    <w:pPr>
      <w:tabs>
        <w:tab w:val="center" w:pos="4153"/>
        <w:tab w:val="right" w:pos="8306"/>
      </w:tabs>
      <w:snapToGrid w:val="0"/>
      <w:jc w:val="left"/>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styleId="a7">
    <w:name w:val="FollowedHyperlink"/>
    <w:basedOn w:val="a0"/>
    <w:rPr>
      <w:color w:val="2B84B5"/>
    </w:rPr>
  </w:style>
  <w:style w:type="character" w:styleId="a8">
    <w:name w:val="Hyperlink"/>
    <w:basedOn w:val="a0"/>
    <w:rPr>
      <w:rFonts w:ascii="微软雅黑" w:eastAsia="微软雅黑" w:hAnsi="微软雅黑" w:cs="微软雅黑" w:hint="eastAsia"/>
      <w:color w:val="0000FF"/>
      <w:u w:val="none"/>
    </w:rPr>
  </w:style>
  <w:style w:type="character" w:customStyle="1" w:styleId="Char">
    <w:name w:val="批注框文本 Char"/>
    <w:basedOn w:val="a0"/>
    <w:link w:val="a4"/>
    <w:qFormat/>
    <w:rPr>
      <w:rFonts w:asciiTheme="minorHAnsi" w:eastAsiaTheme="minorEastAsia" w:hAnsiTheme="minorHAnsi" w:cstheme="minorBidi"/>
      <w:kern w:val="2"/>
      <w:sz w:val="18"/>
      <w:szCs w:val="18"/>
    </w:rPr>
  </w:style>
  <w:style w:type="paragraph" w:styleId="a9">
    <w:name w:val="List Paragraph"/>
    <w:basedOn w:val="a"/>
    <w:uiPriority w:val="99"/>
    <w:unhideWhenUsed/>
    <w:pPr>
      <w:ind w:firstLineChars="200" w:firstLine="420"/>
    </w:pPr>
  </w:style>
  <w:style w:type="character" w:customStyle="1" w:styleId="noline">
    <w:name w:val="noline"/>
    <w:basedOn w:val="a0"/>
  </w:style>
  <w:style w:type="character" w:customStyle="1" w:styleId="hover54">
    <w:name w:val="hover54"/>
    <w:basedOn w:val="a0"/>
    <w:rPr>
      <w:color w:val="025291"/>
    </w:rPr>
  </w:style>
  <w:style w:type="character" w:customStyle="1" w:styleId="hover55">
    <w:name w:val="hover55"/>
    <w:basedOn w:val="a0"/>
    <w:rPr>
      <w:color w:val="2B84B5"/>
    </w:rPr>
  </w:style>
  <w:style w:type="character" w:customStyle="1" w:styleId="hover56">
    <w:name w:val="hover56"/>
    <w:basedOn w:val="a0"/>
    <w:rPr>
      <w:color w:val="D52222"/>
    </w:rPr>
  </w:style>
  <w:style w:type="character" w:customStyle="1" w:styleId="place">
    <w:name w:val="place"/>
    <w:basedOn w:val="a0"/>
    <w:rPr>
      <w:bdr w:val="none" w:sz="0" w:space="0" w:color="auto"/>
    </w:rPr>
  </w:style>
  <w:style w:type="character" w:customStyle="1" w:styleId="place1">
    <w:name w:val="place1"/>
    <w:basedOn w:val="a0"/>
    <w:rPr>
      <w:rFonts w:ascii="微软雅黑" w:eastAsia="微软雅黑" w:hAnsi="微软雅黑" w:cs="微软雅黑"/>
      <w:color w:val="888888"/>
      <w:sz w:val="25"/>
      <w:szCs w:val="25"/>
      <w:bdr w:val="none" w:sz="0" w:space="0" w:color="auto"/>
    </w:rPr>
  </w:style>
  <w:style w:type="character" w:customStyle="1" w:styleId="place2">
    <w:name w:val="place2"/>
    <w:basedOn w:val="a0"/>
    <w:rPr>
      <w:bdr w:val="none" w:sz="0" w:space="0" w:color="auto"/>
    </w:rPr>
  </w:style>
  <w:style w:type="character" w:customStyle="1" w:styleId="place3">
    <w:name w:val="place3"/>
    <w:basedOn w:val="a0"/>
    <w:rPr>
      <w:bdr w:val="none" w:sz="0" w:space="0" w:color="auto"/>
    </w:rPr>
  </w:style>
  <w:style w:type="character" w:customStyle="1" w:styleId="file">
    <w:name w:val="file"/>
    <w:basedOn w:val="a0"/>
    <w:rPr>
      <w:color w:val="4D4D4D"/>
      <w:sz w:val="21"/>
      <w:szCs w:val="21"/>
      <w:bdr w:val="none" w:sz="0" w:space="0" w:color="auto"/>
    </w:rPr>
  </w:style>
  <w:style w:type="character" w:customStyle="1" w:styleId="folder">
    <w:name w:val="folder"/>
    <w:basedOn w:val="a0"/>
  </w:style>
  <w:style w:type="character" w:customStyle="1" w:styleId="folder1">
    <w:name w:val="folder1"/>
    <w:basedOn w:val="a0"/>
    <w:rPr>
      <w:color w:val="4D4D4D"/>
      <w:sz w:val="21"/>
      <w:szCs w:val="21"/>
      <w:bdr w:val="none" w:sz="0" w:space="0" w:color="auto"/>
    </w:rPr>
  </w:style>
  <w:style w:type="paragraph" w:styleId="aa">
    <w:name w:val="Normal (Web)"/>
    <w:basedOn w:val="a"/>
    <w:uiPriority w:val="99"/>
    <w:unhideWhenUsed/>
    <w:rsid w:val="0018412C"/>
    <w:pPr>
      <w:widowControl/>
      <w:spacing w:before="100" w:beforeAutospacing="1" w:after="100" w:afterAutospacing="1"/>
      <w:jc w:val="left"/>
    </w:pPr>
    <w:rPr>
      <w:rFonts w:ascii="宋体" w:eastAsia="宋体" w:hAnsi="宋体" w:cs="宋体"/>
      <w:kern w:val="0"/>
      <w:sz w:val="24"/>
    </w:rPr>
  </w:style>
  <w:style w:type="character" w:styleId="ab">
    <w:name w:val="Strong"/>
    <w:basedOn w:val="a0"/>
    <w:uiPriority w:val="22"/>
    <w:qFormat/>
    <w:rsid w:val="0018412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Balloon Text"/>
    <w:basedOn w:val="a"/>
    <w:link w:val="Char"/>
    <w:rPr>
      <w:sz w:val="18"/>
      <w:szCs w:val="18"/>
    </w:rPr>
  </w:style>
  <w:style w:type="paragraph" w:styleId="a5">
    <w:name w:val="footer"/>
    <w:basedOn w:val="a"/>
    <w:qFormat/>
    <w:pPr>
      <w:tabs>
        <w:tab w:val="center" w:pos="4153"/>
        <w:tab w:val="right" w:pos="8306"/>
      </w:tabs>
      <w:snapToGrid w:val="0"/>
      <w:jc w:val="left"/>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styleId="a7">
    <w:name w:val="FollowedHyperlink"/>
    <w:basedOn w:val="a0"/>
    <w:rPr>
      <w:color w:val="2B84B5"/>
    </w:rPr>
  </w:style>
  <w:style w:type="character" w:styleId="a8">
    <w:name w:val="Hyperlink"/>
    <w:basedOn w:val="a0"/>
    <w:rPr>
      <w:rFonts w:ascii="微软雅黑" w:eastAsia="微软雅黑" w:hAnsi="微软雅黑" w:cs="微软雅黑" w:hint="eastAsia"/>
      <w:color w:val="0000FF"/>
      <w:u w:val="none"/>
    </w:rPr>
  </w:style>
  <w:style w:type="character" w:customStyle="1" w:styleId="Char">
    <w:name w:val="批注框文本 Char"/>
    <w:basedOn w:val="a0"/>
    <w:link w:val="a4"/>
    <w:qFormat/>
    <w:rPr>
      <w:rFonts w:asciiTheme="minorHAnsi" w:eastAsiaTheme="minorEastAsia" w:hAnsiTheme="minorHAnsi" w:cstheme="minorBidi"/>
      <w:kern w:val="2"/>
      <w:sz w:val="18"/>
      <w:szCs w:val="18"/>
    </w:rPr>
  </w:style>
  <w:style w:type="paragraph" w:styleId="a9">
    <w:name w:val="List Paragraph"/>
    <w:basedOn w:val="a"/>
    <w:uiPriority w:val="99"/>
    <w:unhideWhenUsed/>
    <w:pPr>
      <w:ind w:firstLineChars="200" w:firstLine="420"/>
    </w:pPr>
  </w:style>
  <w:style w:type="character" w:customStyle="1" w:styleId="noline">
    <w:name w:val="noline"/>
    <w:basedOn w:val="a0"/>
  </w:style>
  <w:style w:type="character" w:customStyle="1" w:styleId="hover54">
    <w:name w:val="hover54"/>
    <w:basedOn w:val="a0"/>
    <w:rPr>
      <w:color w:val="025291"/>
    </w:rPr>
  </w:style>
  <w:style w:type="character" w:customStyle="1" w:styleId="hover55">
    <w:name w:val="hover55"/>
    <w:basedOn w:val="a0"/>
    <w:rPr>
      <w:color w:val="2B84B5"/>
    </w:rPr>
  </w:style>
  <w:style w:type="character" w:customStyle="1" w:styleId="hover56">
    <w:name w:val="hover56"/>
    <w:basedOn w:val="a0"/>
    <w:rPr>
      <w:color w:val="D52222"/>
    </w:rPr>
  </w:style>
  <w:style w:type="character" w:customStyle="1" w:styleId="place">
    <w:name w:val="place"/>
    <w:basedOn w:val="a0"/>
    <w:rPr>
      <w:bdr w:val="none" w:sz="0" w:space="0" w:color="auto"/>
    </w:rPr>
  </w:style>
  <w:style w:type="character" w:customStyle="1" w:styleId="place1">
    <w:name w:val="place1"/>
    <w:basedOn w:val="a0"/>
    <w:rPr>
      <w:rFonts w:ascii="微软雅黑" w:eastAsia="微软雅黑" w:hAnsi="微软雅黑" w:cs="微软雅黑"/>
      <w:color w:val="888888"/>
      <w:sz w:val="25"/>
      <w:szCs w:val="25"/>
      <w:bdr w:val="none" w:sz="0" w:space="0" w:color="auto"/>
    </w:rPr>
  </w:style>
  <w:style w:type="character" w:customStyle="1" w:styleId="place2">
    <w:name w:val="place2"/>
    <w:basedOn w:val="a0"/>
    <w:rPr>
      <w:bdr w:val="none" w:sz="0" w:space="0" w:color="auto"/>
    </w:rPr>
  </w:style>
  <w:style w:type="character" w:customStyle="1" w:styleId="place3">
    <w:name w:val="place3"/>
    <w:basedOn w:val="a0"/>
    <w:rPr>
      <w:bdr w:val="none" w:sz="0" w:space="0" w:color="auto"/>
    </w:rPr>
  </w:style>
  <w:style w:type="character" w:customStyle="1" w:styleId="file">
    <w:name w:val="file"/>
    <w:basedOn w:val="a0"/>
    <w:rPr>
      <w:color w:val="4D4D4D"/>
      <w:sz w:val="21"/>
      <w:szCs w:val="21"/>
      <w:bdr w:val="none" w:sz="0" w:space="0" w:color="auto"/>
    </w:rPr>
  </w:style>
  <w:style w:type="character" w:customStyle="1" w:styleId="folder">
    <w:name w:val="folder"/>
    <w:basedOn w:val="a0"/>
  </w:style>
  <w:style w:type="character" w:customStyle="1" w:styleId="folder1">
    <w:name w:val="folder1"/>
    <w:basedOn w:val="a0"/>
    <w:rPr>
      <w:color w:val="4D4D4D"/>
      <w:sz w:val="21"/>
      <w:szCs w:val="21"/>
      <w:bdr w:val="none" w:sz="0" w:space="0" w:color="auto"/>
    </w:rPr>
  </w:style>
  <w:style w:type="paragraph" w:styleId="aa">
    <w:name w:val="Normal (Web)"/>
    <w:basedOn w:val="a"/>
    <w:uiPriority w:val="99"/>
    <w:unhideWhenUsed/>
    <w:rsid w:val="0018412C"/>
    <w:pPr>
      <w:widowControl/>
      <w:spacing w:before="100" w:beforeAutospacing="1" w:after="100" w:afterAutospacing="1"/>
      <w:jc w:val="left"/>
    </w:pPr>
    <w:rPr>
      <w:rFonts w:ascii="宋体" w:eastAsia="宋体" w:hAnsi="宋体" w:cs="宋体"/>
      <w:kern w:val="0"/>
      <w:sz w:val="24"/>
    </w:rPr>
  </w:style>
  <w:style w:type="character" w:styleId="ab">
    <w:name w:val="Strong"/>
    <w:basedOn w:val="a0"/>
    <w:uiPriority w:val="22"/>
    <w:qFormat/>
    <w:rsid w:val="0018412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22475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9</Pages>
  <Words>458</Words>
  <Characters>2614</Characters>
  <Application>Microsoft Office Word</Application>
  <DocSecurity>0</DocSecurity>
  <Lines>21</Lines>
  <Paragraphs>6</Paragraphs>
  <ScaleCrop>false</ScaleCrop>
  <Company>Home</Company>
  <LinksUpToDate>false</LinksUpToDate>
  <CharactersWithSpaces>3066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dc:creator>
  <cp:lastModifiedBy>China</cp:lastModifiedBy>
  <cp:revision>26</cp:revision>
  <cp:lastPrinted>2021-10-26T03:30:00Z</cp:lastPrinted>
  <dcterms:created xsi:type="dcterms:W3CDTF">2021-09-09T02:41:00Z</dcterms:created>
  <dcterms:modified xsi:type="dcterms:W3CDTF">2021-11-17T06:38:00Z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48C61CB29D3F4D9384F5922CF0F7FFB4</vt:lpwstr>
  </property>
</Properties>
</file>