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5B" w:rsidRDefault="00812A5B" w:rsidP="00812A5B">
      <w:pPr>
        <w:pStyle w:val="aa"/>
        <w:shd w:val="clear" w:color="auto" w:fill="FFFFFF"/>
        <w:spacing w:before="0" w:beforeAutospacing="0" w:after="0" w:afterAutospacing="0" w:line="630" w:lineRule="atLeast"/>
        <w:jc w:val="center"/>
        <w:rPr>
          <w:rStyle w:val="ab"/>
          <w:rFonts w:hint="eastAsia"/>
          <w:color w:val="333333"/>
          <w:sz w:val="44"/>
          <w:szCs w:val="44"/>
        </w:rPr>
      </w:pPr>
    </w:p>
    <w:p w:rsidR="00812A5B" w:rsidRDefault="00812A5B" w:rsidP="00812A5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蛋白同化制剂和肽类激素进出口管理办法</w:t>
      </w:r>
    </w:p>
    <w:p w:rsidR="00812A5B" w:rsidRPr="00812A5B" w:rsidRDefault="00812A5B" w:rsidP="00812A5B">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812A5B">
        <w:rPr>
          <w:rFonts w:ascii="楷体_GB2312" w:eastAsia="楷体_GB2312" w:hAnsi="仿宋" w:hint="eastAsia"/>
          <w:color w:val="333333"/>
          <w:sz w:val="28"/>
          <w:szCs w:val="28"/>
        </w:rPr>
        <w:t>（2014年8月5日国家食品药品监督管理局总局令第9号公布 自2014年12月1日起施行）</w:t>
      </w:r>
    </w:p>
    <w:p w:rsidR="00812A5B" w:rsidRDefault="00812A5B" w:rsidP="00812A5B">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为规范蛋白同化制剂、肽类激素的进出口管理，根据《中华人民共和国药品管理法》《中华人民共和国海关法》《反兴奋剂条例》等法律、行政法规，制定本办法。</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国家对蛋白同化制剂、肽类激素实行进出口准许证管理。</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进口蛋白同化制剂、肽类激素，进口单位应当向所在地省、自治区、直辖市食品药品监督管理部门提出申请。</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进口供医疗使用的蛋白同化制剂、肽类激素，进口单位应当报送以下资料：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（一）药品进口申请表。</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（二）购货合同或者订单复印件。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（三）《进口药品注册证》（或者《医药产品注册证》）（正本或者副本）复印件。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进口单位的《药品经营许可证》《企业法人营业执照》《进出口企业资格证书》（或者《对外贸易经营者备案登记表》）复印件；药品生产企业进口本企业所需原料药和制剂中间体（包括境内分包装用制剂），应当报送《药品生产许可证》《企业法人营业执照》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（五）《进口药品注册证》（或者《医药产品注册证》）持有者如委托其他公司代理出口其药品的，需提供委托出口函。</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上述各类复印件应当加盖进口单位公章。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因教学、科研需要而进口蛋白同化制剂、肽类激素的，进口单位应当报送以下资料：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（一）药品进口申请表；</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（二）购货合同或者订单复印件；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（三）国内使用单位合法资质的证明文件、药品使用数量的测算依据以及使用单位出具的合法使用和管理该药品保证函；</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（四）相应科研项目的批准文件或者相应主管部门的批准文件；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（五）接受使用单位委托代理进口的，还需提供委托代理协议复印件和进口单位的《企业法人营业执照》《进出口企业资格证书》（或者《对外贸易经营者备案登记表》）复印件。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上述各类复印件应当加盖进口单位公章。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境内企业因接受境外企业委托生产而需要进口蛋白同化制剂、肽类激素的，报送本办法第五条第一款第（一）项、第（三）项、第（五）项规定的资料。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上述各类复印件应当加盖进口单位公章。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省、自治区、直辖市食品药品监督管理部门收到进口申请及有关资料后，应当于15个工作日内作出是否同意进口的决定；对同意进口的，发给药品《进口准许证》；对不同意进口的，应当书面说明理由。</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进口蛋白同化制剂、肽类激素必须经由国务院批准的允许药品进口的口岸进口。进口单位持省、自治区、直辖市食品药品监督管理部门核发的药品《进口准许证》向海关办理报关手续。进口蛋白同化制剂、肽类激素无需办理《进口药品通关单》。</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进口供医疗使用的蛋白同化制剂、肽类激素（包括首次在中国销售的），进口单位应当于进口手续完成后，及时填写《进口药品报验单》，持《进口药品注册证》（或者《医药产品注册证》）原件（正本或者副本）、药品《进口准许证》原件，向进口口岸食品药品监督管理部门报送下列资料一式两份，申请办理《进口药品口岸检验通知书》：</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（一）《进口药品注册证》（或者《医药产品注册证》）（正本或者副本）和药品《进口准许证》复印件；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（二）进口单位的《药品生产许可证》或者《药品经营许可证》复印件，《企业法人营业执照》复印件；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（三）原产地证明复印件；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（四）购货合同复印件；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（五）装箱单、提运单和货运发票复印件；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（六）出厂检验报告书复印件；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（七）药品说明书及包装、标签的式样（原料药和制剂中间体除外）。</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上述各类复印件应当加盖进口单位公章。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口岸食品药品监督管理部门接到《进口药品报验单》及相关资料，审查无误后，将《进口药品注册证》（或者《医药产品注册证》）（正本或者副本）原件、药品《进口准许证》原件交还进口单位，并应当于当日向负责检验的口岸药品检验所发出《进口药品口岸检验通知书》，附本办法第九条规定的资料1份。</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口岸药品检验所接到《进口药品口岸检验通知书》后，应当在2个工作日内与进口单位联系，到存货地点进行抽样，抽样完</w:t>
      </w:r>
      <w:r>
        <w:rPr>
          <w:rFonts w:ascii="仿宋" w:eastAsia="仿宋" w:hAnsi="仿宋" w:hint="eastAsia"/>
          <w:color w:val="333333"/>
          <w:sz w:val="32"/>
          <w:szCs w:val="32"/>
        </w:rPr>
        <w:lastRenderedPageBreak/>
        <w:t>成后，应当在药品《进口准许证》原件第一联背面注明“已抽样”字样，并加盖抽样单位的公章。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因教学、科研需要而进口的蛋白同化制剂、肽类激素以及境内企业接受境外企业委托生产而需要进口的蛋白同化制剂、肽类激素，予以免检。对免检的进口蛋白同化制剂、肽类激素，其收货人不免除持进口准许证向海关办理手续的义务。</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有下列情形之一的，口岸食品药品监督管理部门应当及时将有关情况通告发证机关：</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（一）口岸食品药品监督管理部门根据《药品进口管理办法》第十七条规定，不予发放《进口药品口岸检验通知书》的；</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（二）口岸药品检验所根据《药品进口管理办法》第二十五条规定，不予抽样的。</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食品药品监督管理部门对具有前款情形并已进口的全部药品，应当采取查封、扣押的行政强制措施，并于查封、扣押之日起7日内作出责令复运出境决定，通知进口单位按照本办法规定的蛋白同化制剂、肽类激素出口程序办理药品《出口准许证》，将进口药品全部退回原出口国。</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进口单位收到责令复运出境决定之日起10日内不答复或者未明确表示复运出境的，已查封、扣押的药品由口岸食品药品监督管理部门监督销毁。</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进口的蛋白同化制剂、肽类激素经口岸药品检验所检验不符合标准规定的，进口单位应当在收到《进口药品检验报告书》后2日内，将全部进口药品流通、使用的详细情况，报告所在地口岸食品药品监督管理部门。</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口岸食品药品监督管理部门收到《进口药品检验报告书》后，应当及时采取对全部药品予以查封、扣押的行政强制措施，并在7日内作出是否立案的决定。</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单位未在规定时间内提出复验或者经复验仍不符合标准规定的，口岸食品药品监督管理部门应当作出责令复运出境决定，通知进口单位按照本办法规定的蛋白同化制剂、肽类激素出口程序办理药品《出口准许证》，将进口药品全部退回原出口国。进口单位收到责令复运出境决定之日起10日内不答复或者未明确表示复运出境的，由口岸食品药品监督管理部门监督销毁。</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经复验符合标准规定的，口岸食品药品监督管理部门应当解除查封、扣押的行政强制措施。</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口岸食品药品监督管理部门应当将按照本条第二款、第三款、第四款规定处理的情况及时通告发证机关，同时通告各省、自治区、直辖市食品药品监督管理部门和其他口岸食品药品监督管理部门。</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国内药品生产企业、经营企业以及医疗机构采购进口蛋白同化制剂、肽类激素时，供货单位应当提供《进口药品注册证》（或者《医药产品注册证》）复印件、药品《进口准许证》复印件和《进口药品检验报告书》复印件，并在上述各类复印件上加盖供货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出口蛋白同化制剂、肽类激素，出口单位应当向所在地省、自治区、直辖市食品药品监督管理部门提出申请，报送下列资料：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（一）药品出口申请表。</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（二）进口国家或者地区的药品管理机构提供的进口准许证正本（或者复印件及公证文本）。</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如进口国家或者地区对蛋白同化制剂、肽类激素进口尚未实行许可证管理制度，需提供进口国家的药品管理机构提供的该类药品进口无需核发进口准许证的证明文件（正本）以及以下文件之一：</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1.进口国家或者地区的药品管理机构提供的同意进口该药品的证明文件正本（或者复印件及公证文本）；</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2.进口单位合法资质的证明文件和该药品用途合法的证明文件正本（或者复印件及公证文本）。</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（三）购货合同或者订单复印件（自营产品出口的生产企业除外）。</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（四）外销合同或者订单复印件。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（五）出口药品如为国内药品生产企业经批准生产的品种，须提供该药品生产企业的《药品生产许可证》《企业法人营业执照》及药品的批准证明文件复印件。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出口药物如为境内企业接受境外企业委托生产的品种，须提供与境外委托企业签订的委托生产合同。委托生产合同应当明确规定双方的权利和义务、法律责任等，产品质量由委托方负责。</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（六）出口企业的《企业法人营业执照》《进出口企业资格证书》（或者《对外贸易经营者备案登记表》）复印件。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上述各类复印件应当加盖出口单位公章。</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按照本办法第十二条、第十三条规定复运出境的，申请药品《出口准许证》时，应当提供下列资料：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（一）出口国原出口单位申请退货的证明材料；</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（二）药品《进口准许证》。</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省、自治区、直辖市食品药品监督管理部门收到出口申请及有关资料后，应当于15个工作日内作出是否同意出口的决定；对同意出口的，发给药品《出口准许证》；对不同意出口的，应当书面说明理由。</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对根据本办法第十六条规定申请办理药品《出口准许证》的，发证机关应当在药品《出口准许证》上注明“原货退回”字样。</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出口单位持省、自治区、直辖市食品药品监督管理部门核发的药品《出口准许证》向海关办理报关手续。</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进出口单位在办理报关手续时，应当多提交一联报关单，并向海关申请签退该联报关单。海关凭药品《进口准许证》《出口准许证》在该联报关单上加盖“验讫章”后退进出口单位。</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进出口完成后1个月内，进出口单位应当将药品《进口准许证》《出口准许证》的第一联、海关签章的报关单退回发证机关。</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取得药品进出口准许证后未进行相关进出口贸易的，进出口单位应当于准许证有效期满后1个月内将原准许证退回发证机关。</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药品《进口准许证》有效期1年。药品《出口准许证》有效期不超过3个月（有效期时限不跨年度）。</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药品《进口准许证》《出口准许证》实行“一证一关”，只能在有效期内一次性使用，证面内容不得更改。因故延期进出口的，可以持原进出口准许证办理一次延期换证手续。</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药品《进口准许证》《出口准许证》如有遗失，进出口单位应当立即向原发证机关书面报告挂失。原发证机关收到挂失报告后，通知口岸海关。原发证机关经核实无不良后果的，予以重新补发。</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药品《进口准许证》《出口准许证》由国家食品药品监督管理总局统一印制。</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以加工贸易方式进出口蛋白同化制剂、肽类激素的，海关凭药品《进口准许证》《出口准许证》办理验放手续并实施监管。确因特殊情况无法出口的，移交货物所在地食品药品监督管理部门按规定处理，海关凭有关证明材料办理核销手续。</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海关特殊监管区域和保税监管场所与境外进出及海关特殊监管区域、保税监管场所之间进出的蛋白同化制</w:t>
      </w:r>
      <w:r>
        <w:rPr>
          <w:rFonts w:ascii="仿宋" w:eastAsia="仿宋" w:hAnsi="仿宋" w:hint="eastAsia"/>
          <w:color w:val="333333"/>
          <w:sz w:val="32"/>
          <w:szCs w:val="32"/>
        </w:rPr>
        <w:lastRenderedPageBreak/>
        <w:t>剂、肽类激素，免予办理药品《进口准许证》《出口准许证》，由海关实施监管。</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从海关特殊监管区域和保税监管场所进入境内区外的蛋白同化制剂、肽类激素，应当办理药品《进口准许证》。</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从境内区外进入海关特殊监管区域和保税监管场所的蛋白同化制剂、肽类激素，应当办理药品《出口准许证》。</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个人因医疗需要携带或者邮寄进出境自用合理数量范围内的蛋白同化制剂、肽类激素的，海关按照卫生计生部门有关处方的管理规定凭医疗机构处方予以验放。</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除本办法另有规定外，供医疗使用的蛋白同化制剂、肽类激素的进口、口岸检验、监督管理等方面，参照《药品进口管理办法》有关药品进口的规定执行。</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本办法所称进口供医疗使用的蛋白同化制剂、肽类激素，是指进口的蛋白同化制剂、肽类激素拟用于生产制剂或者拟在中国境内上市销售。</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进口单位：是指依照本办法取得的药品《进口准许证》上载明的进口单位。</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出口单位：是指依照本办法取得的药品《出口准许证》上载明的出口单位。</w:t>
      </w:r>
    </w:p>
    <w:p w:rsidR="00812A5B" w:rsidRDefault="00812A5B" w:rsidP="00812A5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本办法自2014年12月1日起施行。2006年7月28日公布的《蛋白同化制剂、肽类激素进出口管理办法（暂行）》（国家食品药品监督管理局、海关总署、国家体育总局令第25号）同时废止。</w:t>
      </w:r>
    </w:p>
    <w:p w:rsidR="00891FFC" w:rsidRPr="00812A5B" w:rsidRDefault="00891FFC" w:rsidP="00812A5B"/>
    <w:sectPr w:rsidR="00891FFC" w:rsidRPr="00812A5B">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D6" w:rsidRDefault="009C45D6">
      <w:r>
        <w:separator/>
      </w:r>
    </w:p>
  </w:endnote>
  <w:endnote w:type="continuationSeparator" w:id="0">
    <w:p w:rsidR="009C45D6" w:rsidRDefault="009C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5B" w:rsidRDefault="00812A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12A5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12A5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812A5B">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5B" w:rsidRDefault="00812A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D6" w:rsidRDefault="009C45D6">
      <w:r>
        <w:separator/>
      </w:r>
    </w:p>
  </w:footnote>
  <w:footnote w:type="continuationSeparator" w:id="0">
    <w:p w:rsidR="009C45D6" w:rsidRDefault="009C4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5B" w:rsidRDefault="00812A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5B" w:rsidRDefault="00812A5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12A5B"/>
    <w:rsid w:val="00891FFC"/>
    <w:rsid w:val="00915729"/>
    <w:rsid w:val="00960532"/>
    <w:rsid w:val="009C45D6"/>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12A5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12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12A5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12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0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725</Words>
  <Characters>4137</Characters>
  <Application>Microsoft Office Word</Application>
  <DocSecurity>0</DocSecurity>
  <Lines>34</Lines>
  <Paragraphs>9</Paragraphs>
  <ScaleCrop>false</ScaleCrop>
  <Company>Home</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