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9F" w:rsidRDefault="006E199F" w:rsidP="006E199F">
      <w:pPr>
        <w:pStyle w:val="aa"/>
        <w:shd w:val="clear" w:color="auto" w:fill="FFFFFF"/>
        <w:spacing w:before="0" w:beforeAutospacing="0" w:after="0" w:afterAutospacing="0" w:line="630" w:lineRule="atLeast"/>
        <w:jc w:val="center"/>
        <w:rPr>
          <w:rStyle w:val="ab"/>
          <w:rFonts w:hint="eastAsia"/>
          <w:color w:val="333333"/>
          <w:sz w:val="44"/>
          <w:szCs w:val="44"/>
        </w:rPr>
      </w:pP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医疗机构制剂配制质量管理规范（试行）</w:t>
      </w:r>
    </w:p>
    <w:p w:rsidR="006E199F" w:rsidRPr="006E199F" w:rsidRDefault="006E199F" w:rsidP="006E199F">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6E199F">
        <w:rPr>
          <w:rFonts w:ascii="楷体_GB2312" w:eastAsia="楷体_GB2312" w:hAnsi="仿宋" w:hint="eastAsia"/>
          <w:color w:val="333333"/>
          <w:sz w:val="28"/>
          <w:szCs w:val="28"/>
        </w:rPr>
        <w:t>（2001年3月13日国家食品药品监督管理局令第27号公布 自发布之日起施行）</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根据《中华人民共和国药品管理法》的规定，参照《药品生产质量管理规范》的基本原则，制定本规范。</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医疗机构制剂是指医疗机构根据本单位临床需要而常规配制、自用的固定处方制剂。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医疗机构配制制剂应取得省、自治区、直辖市药品监督管理局颁发的《医疗机构制剂许可证》。</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国家药品监督管理局和省、自治区、直辖市药品监督管理局负责对医疗机构制剂进行质量监督，并发布质量公告。</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本规范是医疗机构制剂配制和质量管理的基本准则，适用于制剂配制的全过程。</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机构与人员</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医疗机构制剂配制应在药剂部门设制剂室、药检室和质量管理组织。机构与岗位人员的职责应明确，并配备具有相应素质及相应数量的专业技术人员。</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医疗机构负责人对本《规范》的实施及制剂质量负责。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制剂室和药检室的负责人应具有大专以上药学或相关专业学历，具有相应管理的实践经验，有对工作中出现的问题作出正确判断和处理的能力。</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制剂室和药检室的负责人不得互相兼任。</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从事制剂配制操作及药检人员，应经专业技术培训，具有基础理论知识和实际操作技能。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凡有特殊要求的制剂配制操作和药检人员还应经相应的专业技术培训。</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凡从事制剂配制工作的所有人员均应熟悉本规范，并应通过本规范的培训与考核。</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房屋与设施</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为保证制剂质量，制剂室要远离各种污染源。周围的地面、路面、植被等不应对制剂配制过程造成污染。</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制剂室应有防止污染、昆虫和其它动物进入的有效设施。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制剂室的房屋和面积必须与所配制的制剂剂型和规模相适应。应设工作人员更衣室。</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各工作间应按制剂工序和空气洁净度级别要求合理布局。一般区和洁净区分开；配制、分装与贴签、包装分开；内服制剂与外用制剂分开；无菌制剂与其它制剂分开。</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各种制剂应根据剂型的需要，工序合理衔接，设置不同的操作间，按工序划分操作岗位。</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制剂室应具有与所配制剂相适应的物料、成品等库房，并有通风、防潮等设施。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中药材的前处理、提取、浓缩等必须与其后续工序严格分开，并应有有效的除尘、排风设施。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制剂室在设计和施工时，应考虑使用时便于进行清洁工作。洁净室的内表面应平整光滑，无裂缝、接口严密，无颗粒物脱落并能耐受清洗和消毒。墙壁与地面等交界处宜成弧形或采取其它措施，以减少积尘和便于清洁。</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洁净室内各种管道、灯具、风口以及其它公用设施在设计和安装时应避免出现不易清洁的部位。</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根据制剂工艺要求，划分空气洁净度级别（见附件表Ⅰ、表Ⅱ）。洁净室（区）内空气的微生物数和尘粒数应符合规定，应定期检测并记录。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洁净室（区）应有足够照度，主要工作间的照度宜为３００勒克斯。</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洁净室的窗户、技术夹层及进入室内的管道、风口、灯具与墙壁或顶棚的连接部位均应密封。</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洁净室（区）应维持一定的正压，并送入一定比例的新风。</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洁净室（区）内安装的水池、地漏的位置应适宜，不得对制剂造成污染。１００级洁净区内不得设地漏。</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实验动物房应远离制剂室。</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设备</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设备的选型、安装应符合制剂配制要求，易于清洗、消毒或灭菌，便于操作、维修和保养，并能防止差错和减少污染。</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纯化水、注射用水的制备、储存和分配应能防止微生物的滋生和污染。储罐和输送管道所用材料应无毒、耐腐蚀，管道的设计和安装应避免死角、盲管。</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与药品直接接触的设备表面应光洁、平整、易清洗或消毒、耐腐蚀；不与药品发生化学变化和吸附药品。设备所用的润滑剂、冷却剂等不得对药品和容器造成污染。</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制剂配制和检验应有与所配制制剂品种相适应的设备、设施与仪器。</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用于制剂配制和检验的仪器、仪表、量具、衡器等其适用范围和精密度应符合制剂配制和检验的要求，应定期校验，并有合格标志。校验记录应至少保存一年。</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建立设备管理的各项规章制度，制定标准操作规程。设备应由专人管理，定期维修、保养，并作好记录。</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物料</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制剂配制所用物料的购入、储存、发放与使用等应制定管理制度。</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制剂配制所用的物料应符合药用要求，不得对制剂质量产生不良影响。</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制剂配制所用的中药材应按质量标准购入，合理储存与保管。</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各种物料要严格管理。合格物料、待验物料及不合格物料应分别存放，并有易于识别的明显标志。不合格的物料，应及时处理。</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各种物料应按其性能与用途合理存放。对温度、湿度等有特殊要求的物料，应按规定条件储存。挥发性物料的存放，应注意避免污染其它物料。各种物料不得露天存放。</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物料应按规定的使用期限储存，储存期内如有特殊情况应及时检验。</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制剂的标签、使用说明书必须与药品监督管理部门批准的内容、式样、文字相一致，不得随意更改；应专柜存放，专人保管，不得流失。</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卫生</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制剂室应有防止污染的卫生措施和卫生管理制度，并由专人负责。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配制间不得存放与配制无关的物品。配制中的废弃物应及时处理。</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更衣室、浴室及厕所的设置不得对洁净室（区）产生不良影响。</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配制间和制剂设备、容器等应有清洁规程，内容包括：清洁方法、程序、间隔时间、使用清洁剂或消毒剂、清洁工具的清洁方法和存放地点等。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洁净室（区）应定期消毒。使用的消毒剂不得对设备、物料和成品产生污染。消毒剂品种应定期更换，防止产生耐药菌株。</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工作服的选材、式样及穿戴方式应与配制操作和洁净度级别要求相适应。</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洁净室工作服的质地应光滑、不产生静电、不脱落纤维和颗粒性物质。无菌工作服必须包盖全部头发、胡须及脚部，并能阻留人体脱落物并不得混穿。</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不同洁净度级别房间使用的工作服应分别定期清洗、整理，必要时应消毒或灭菌。洗涤时不应带入附加的颗粒物质。</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洁净室（区）仅限于在该室的配制人员和经批准的人员进入。</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进入洁净室（区）的人员不得化妆和佩带饰物，不得裸手直接接触药品。</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配制人员应有健康档案，并每年至少体检一次。传染病、皮肤病患者和体表有伤口者不得从事制剂配制工作。</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文件</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制剂室应有下列文件：</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（一）《医疗机构制剂许可证》及申报文件、验收、整改记录；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（二）制剂品种申报及批准文件；</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（三）制剂室年检、抽验及监督检查文件及记录。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医疗机构制剂室应有配制管理、质量管理的各项制度和记录。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（一）制剂室操作间、设施和设备的使用、维护、保养等制度和记录；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（二）物料的验收、配制操作、检验、发放、成品分发和使用部门及患者的反馈、投诉等制度和记录；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（三）配制返工、不合格品管理、物料退库、报损、特殊情况处理等制度和记录；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（四）留样观察制度和记录；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（五）制剂室内外环境、设备、人员等卫生管理制度和记录；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（六）本规范和专业技术培训的制度和记录。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制剂配制管理文件主要有：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（一）配制规程和标准操作规程</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配制规程包括：制剂名称、剂型、处方、配制工艺的操作要求，原料、中间产品、成品的质量标准和技术参数及储存注意事项，成品容器、包装材料的要求等。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标准操作规程：配制过程中涉及的单元操作（如加热、搅拌、振摇、混合等）具体规定和应达到的要求。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（二）配制记录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配制记录（制剂单）应包括：编号、制剂名称、配制日期、制剂批号、有关设备名称与操作记录、原料用量、成品和半成品</w:t>
      </w:r>
      <w:r>
        <w:rPr>
          <w:rFonts w:ascii="仿宋" w:eastAsia="仿宋" w:hAnsi="仿宋" w:hint="eastAsia"/>
          <w:color w:val="333333"/>
          <w:sz w:val="32"/>
          <w:szCs w:val="32"/>
        </w:rPr>
        <w:lastRenderedPageBreak/>
        <w:t>数量、配制过程的控制记录及特殊情况处理记录和各工序的操作者、复核者、清场者的签名等。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配制制剂的质量管理文件主要有：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（一）物料、半成品、成品的质量标准和检验操作规程；</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（二）制剂质量稳定性考察记录；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（三）检验记录。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制剂配制管理文件和质量管理文件的要求：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（一）制订文件应符合《药品管理法》和相关法律、法规、规章的要求；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（二）应建立文件的管理制度。使用的文件应为批准的现行文本，已撤销和过时的文件除留档备查外，不得在工作现场出现；</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（三）文件的制订、审查和批准的责任应明确，并有责任人签名；</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（四）有关配制记录和质量检验记录应完整归档，至少保存２年备查。</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配制管理</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配制规程和标准操作规程不得任意修改。如需修改时必须按制定时的程序办理修订、审批手续。</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在同一配制周期中制备出来的一定数量常规配制的制剂为一批，一批制剂在规定限度内具有同一性质和质量。每批制剂均应编制制剂批号。</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每批制剂均应按投入和产出的物料平衡进行检查，如有显著差异，必须查明原因，在得出合理解释，确认无潜在质量事故后，方可按正常程序处理。</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为防止制剂被污染和混淆，配制操作应采取下述措施：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（一）每次配制后应清场，并填写清场记录。每次配制前应确认无上次遗留物；</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（二）不同制剂（包括同一制剂的不同规格）的配制操作不得在同一操作间同时进行；</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如确实无法避免时，必须在不同的操作台配制，并应采取防止污染和混淆的措施；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（三）在配制过程中应防止称量、过筛、粉碎等可能造成粉末飞散而引起的交叉污染；</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（四）在配制过程中使用的容器须有标明物料名称、批号、状态及数量等的标志。</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根据制剂配制规程选用工艺用水。工艺用水应符合质量标准并定期检验。根据验证结果，规定检验周期。</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每批制剂均应有一份能反映配制各个环节的完整记录。操作人员应及时填写记录，填写字迹清晰、内容真实、数据完整，并由操作人、复核人及清场人签字。记录应保持整洁，不得撕毁和任意涂改。需要更改时，更改人应在更改处签字，并需使被更改部分可以辨认。</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新制剂的配制工艺及主要设备应按验证方案进行验证。当影响制剂质量的主要因素，如配制工艺或质量控制方法、主要原辅料、主要配制设备等发生改变时，以及配制一定周期后，应进行再验证。所有验证记录应归档保存。</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质量管理与自检</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质量管理组织负责制剂配制全过程的质量管理。其主要职责：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（一）制定质量管理组织任务、职责；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（二）决定物料和中间品能否使用；</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（三）研究处理制剂重大质量问题；</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（四）制剂经检验合格后，由质量管理组织负责人审查配制全过程记录并决定是否发放使用；</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（五）审核不合格品的处理程序及监督实施。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药检室负责制剂配制全过程的检验。其主要职责：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（一）制定和修订物料、中间品和成品的内控标准和检验操作规程，制定取样和留样制度；</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（二）制定检验用设备、仪器、试剂、试液、标准品（或参考品）、滴定液与培养基及实验动物等管理办法；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（三）对物料、中间品和成品进行取样、检验、留样，并出具检验报告；</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（四）监测洁净室（区）的微生物数和尘粒数；</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（五）评价原料、中间品及成品的质量稳定性，为确定物料储存期和制剂有效期提供数据；</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（六）制定药检室人员的职责。</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医疗机构制剂质量管理组织应定期组织自检。自检应按预定的程序，按规定内容进行检查，以证实与本规范的一致性。</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自检应有记录并写出自检报告，包括评价及改进措施等。</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第十章　使用管理</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医疗机构制剂应按药品监督管理部门制定的原则并结合剂型特点、原料药的稳定性和制剂稳定性试验结果规定使用期限。</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制剂配发必须有完整的记录或凭据。内容包括：领用部门、制剂名称、批号、规格、数量等。制剂在使用过程中出现质量问题时，制剂质量管理组织应及时进行处理，出现质量问题的制剂应立即收回，并填写收回记录。收回记录应包括：制剂名称、批号、规格、数量、收回部门、收回原因、处理意见及日期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制剂使用过程中发现的不良反应，应按《药品不良反应监测管理办法》的规定予以记录，填表上报。保留病历和有关检验、检查报告单等原始记录至少一年备查。</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第十一章　附则</w:t>
      </w:r>
    </w:p>
    <w:p w:rsidR="006E199F" w:rsidRDefault="006E199F" w:rsidP="006E199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本规范所使用的术语：</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标准操作规程：经批准用以指示操作的通用性文件或管理办法。</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配制规程：为各个制剂制定，为配制该制剂的标准操作，包括投料、配制工艺、成品包装等内容。</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物料：原料、辅料、包装材料等。</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验证：证明任何程序、配制过程、设备、物料、活动或系统确实能达到预期结果的有文件证明的一系列行动。</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洁净室（区）：需要对尘粒及微生物数量进行控制的房间（区域）。其建筑结构、装备及其使用均具有减少该区域内污染源的介入、产生和滞留的功能。</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一般区：是指洁净区之外，未规定有空气洁净度级别要求的区域，应符合卫生要求。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工艺用水：制剂配制工艺中使用的水，包括：饮用水、纯化水、注射用水。</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纯化水：为蒸馏法、离子交换法、反渗透法或其它适宜的方法制得供药用的水，不含任何附加剂。</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质量管理组织：是指医疗机构为加强制剂质量管理而由药剂部门及制剂室、药检室负责人组成的小组。</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本规范由国家药品监督管理局负责解释。</w:t>
      </w:r>
    </w:p>
    <w:p w:rsidR="006E199F" w:rsidRDefault="006E199F" w:rsidP="006E199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本规范自发布之日起施行。</w:t>
      </w:r>
    </w:p>
    <w:p w:rsidR="00891FFC" w:rsidRPr="006E199F" w:rsidRDefault="00891FFC" w:rsidP="006E199F"/>
    <w:sectPr w:rsidR="00891FFC" w:rsidRPr="006E199F">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987" w:rsidRDefault="00533987">
      <w:r>
        <w:separator/>
      </w:r>
    </w:p>
  </w:endnote>
  <w:endnote w:type="continuationSeparator" w:id="0">
    <w:p w:rsidR="00533987" w:rsidRDefault="0053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9F" w:rsidRDefault="006E19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199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199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6E199F">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9F" w:rsidRDefault="006E19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987" w:rsidRDefault="00533987">
      <w:r>
        <w:separator/>
      </w:r>
    </w:p>
  </w:footnote>
  <w:footnote w:type="continuationSeparator" w:id="0">
    <w:p w:rsidR="00533987" w:rsidRDefault="00533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9F" w:rsidRDefault="006E19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9F" w:rsidRDefault="006E19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33987"/>
    <w:rsid w:val="00637CAC"/>
    <w:rsid w:val="006E199F"/>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E199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E19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E199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E1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842</Words>
  <Characters>4803</Characters>
  <Application>Microsoft Office Word</Application>
  <DocSecurity>0</DocSecurity>
  <Lines>40</Lines>
  <Paragraphs>11</Paragraphs>
  <ScaleCrop>false</ScaleCrop>
  <Company>Home</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