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69" w:rsidRDefault="00B45369" w:rsidP="00B45369">
      <w:pPr>
        <w:widowControl/>
        <w:shd w:val="clear" w:color="auto" w:fill="FFFFFF"/>
        <w:spacing w:line="630" w:lineRule="atLeast"/>
        <w:jc w:val="center"/>
        <w:rPr>
          <w:rFonts w:ascii="宋体" w:eastAsia="宋体" w:hAnsi="宋体" w:cs="宋体"/>
          <w:b/>
          <w:bCs/>
          <w:color w:val="333333"/>
          <w:kern w:val="0"/>
          <w:sz w:val="44"/>
          <w:szCs w:val="44"/>
        </w:rPr>
      </w:pPr>
    </w:p>
    <w:p w:rsidR="00B45369" w:rsidRPr="00B45369" w:rsidRDefault="00B45369" w:rsidP="00B45369">
      <w:pPr>
        <w:widowControl/>
        <w:shd w:val="clear" w:color="auto" w:fill="FFFFFF"/>
        <w:spacing w:line="630" w:lineRule="atLeast"/>
        <w:jc w:val="center"/>
        <w:rPr>
          <w:rFonts w:ascii="仿宋" w:eastAsia="仿宋" w:hAnsi="仿宋" w:cs="宋体"/>
          <w:color w:val="333333"/>
          <w:kern w:val="0"/>
          <w:sz w:val="32"/>
          <w:szCs w:val="32"/>
        </w:rPr>
      </w:pPr>
      <w:r w:rsidRPr="00B45369">
        <w:rPr>
          <w:rFonts w:ascii="宋体" w:eastAsia="宋体" w:hAnsi="宋体" w:cs="宋体" w:hint="eastAsia"/>
          <w:b/>
          <w:bCs/>
          <w:color w:val="333333"/>
          <w:kern w:val="0"/>
          <w:sz w:val="44"/>
          <w:szCs w:val="44"/>
        </w:rPr>
        <w:t>零售商品称重计量监督管理办法</w:t>
      </w:r>
    </w:p>
    <w:p w:rsidR="00B45369" w:rsidRPr="00B45369" w:rsidRDefault="00B45369" w:rsidP="00B45369">
      <w:pPr>
        <w:widowControl/>
        <w:shd w:val="clear" w:color="auto" w:fill="FFFFFF"/>
        <w:spacing w:line="630" w:lineRule="atLeast"/>
        <w:rPr>
          <w:rFonts w:ascii="楷体_GB2312" w:eastAsia="楷体_GB2312" w:hAnsi="仿宋" w:cs="宋体"/>
          <w:color w:val="333333"/>
          <w:kern w:val="0"/>
          <w:sz w:val="32"/>
          <w:szCs w:val="32"/>
        </w:rPr>
      </w:pPr>
      <w:r w:rsidRPr="00B45369">
        <w:rPr>
          <w:rFonts w:ascii="仿宋" w:eastAsia="仿宋" w:hAnsi="仿宋" w:cs="宋体" w:hint="eastAsia"/>
          <w:color w:val="333333"/>
          <w:kern w:val="0"/>
          <w:sz w:val="28"/>
          <w:szCs w:val="28"/>
        </w:rPr>
        <w:t xml:space="preserve">　　</w:t>
      </w:r>
      <w:r w:rsidRPr="00B45369">
        <w:rPr>
          <w:rFonts w:ascii="楷体_GB2312" w:eastAsia="楷体_GB2312" w:hAnsi="仿宋" w:cs="宋体" w:hint="eastAsia"/>
          <w:color w:val="333333"/>
          <w:kern w:val="0"/>
          <w:sz w:val="28"/>
          <w:szCs w:val="28"/>
        </w:rPr>
        <w:t>（</w:t>
      </w:r>
      <w:r w:rsidR="00296C8E" w:rsidRPr="00296C8E">
        <w:rPr>
          <w:rFonts w:ascii="楷体_GB2312" w:eastAsia="楷体_GB2312" w:hAnsi="仿宋" w:cs="宋体" w:hint="eastAsia"/>
          <w:color w:val="333333"/>
          <w:kern w:val="0"/>
          <w:sz w:val="28"/>
          <w:szCs w:val="28"/>
        </w:rPr>
        <w:t>2004年8月10日国家质量监督检验检疫总局、国家工商行政管理总局令第66号公布，根据2020年</w:t>
      </w:r>
      <w:r w:rsidR="00C377EF">
        <w:rPr>
          <w:rFonts w:ascii="楷体_GB2312" w:eastAsia="楷体_GB2312" w:hAnsi="仿宋" w:cs="宋体" w:hint="eastAsia"/>
          <w:color w:val="333333"/>
          <w:kern w:val="0"/>
          <w:sz w:val="28"/>
          <w:szCs w:val="28"/>
        </w:rPr>
        <w:t>10</w:t>
      </w:r>
      <w:bookmarkStart w:id="0" w:name="_GoBack"/>
      <w:bookmarkEnd w:id="0"/>
      <w:r w:rsidR="00296C8E" w:rsidRPr="00296C8E">
        <w:rPr>
          <w:rFonts w:ascii="楷体_GB2312" w:eastAsia="楷体_GB2312" w:hAnsi="仿宋" w:cs="宋体" w:hint="eastAsia"/>
          <w:color w:val="333333"/>
          <w:kern w:val="0"/>
          <w:sz w:val="28"/>
          <w:szCs w:val="28"/>
        </w:rPr>
        <w:t>月23日国家市场监督管理总局令第31号修订</w:t>
      </w:r>
      <w:r w:rsidRPr="00B45369">
        <w:rPr>
          <w:rFonts w:ascii="楷体_GB2312" w:eastAsia="楷体_GB2312" w:hAnsi="仿宋" w:cs="宋体" w:hint="eastAsia"/>
          <w:color w:val="333333"/>
          <w:kern w:val="0"/>
          <w:sz w:val="28"/>
          <w:szCs w:val="28"/>
        </w:rPr>
        <w:t>）</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宋体" w:eastAsia="宋体" w:hAnsi="宋体" w:cs="宋体" w:hint="eastAsia"/>
          <w:color w:val="333333"/>
          <w:kern w:val="0"/>
          <w:sz w:val="32"/>
          <w:szCs w:val="32"/>
        </w:rPr>
        <w:t> </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第一条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为维护社会主义市场经济秩序，制止利用计量手段欺骗消费者的不法行为，保护消费者的合法权益，根据《中华人民共和国计量法》、《中华人民共和国消费者权益保护法》等有关法律法规，制定本办法。</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第二条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在中华人民共和国境内，从事零售商品的销售以及对其进行计量监督，必须遵守本办法。</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本办法所称零售商品，是指以重量结算的食品、金银饰品。</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其他以重量结算的商品和以容量、长度、面积等结算的商品，另行规定。</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定量包装商品的生产、经销以及对其的计量监督应当遵守《定量包装商品计量监督管理办法》。</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lastRenderedPageBreak/>
        <w:t xml:space="preserve">　　</w:t>
      </w:r>
      <w:r w:rsidRPr="00B45369">
        <w:rPr>
          <w:rFonts w:ascii="黑体" w:eastAsia="黑体" w:hAnsi="黑体" w:cs="宋体" w:hint="eastAsia"/>
          <w:color w:val="333333"/>
          <w:kern w:val="0"/>
          <w:sz w:val="32"/>
          <w:szCs w:val="32"/>
        </w:rPr>
        <w:t>第三条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零售商品经销者销售商品时，必须使用合格的计量器具，其最大允许误差应当优于或等于所销售商品的负偏差。</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第四条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零售商品经销者使用称重计量器具当场称重商品，必须按照称重计量器具的实际示值结算，保证商品量计量合格。</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第五条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零售商品经销者使用称重计量器具每次当场称重商品，在本办法附表1、附表2称重范围内，经核称商品的实际重量值与结算重量值之差不得超过该表规定的负偏差。</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第六条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零售商品经销者和计量监督人员可以按照如下方法核称商品：</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一）原计量器具核称法：直接核称商品，商品的核称重量值与结算（标称）重量值之差不应超过商品的负偏差，并且称重与核称重量值等量的最大允许误差优于或等于所经销商品的负偏差三分之一的砝码，砝码示值与商品核称重量值之差不应超过商品的负偏差；</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（二）高准确度称重计量器具核称法：用最大允许误差优于或等于所经销商品的负偏差三分之一的计量器具直接核称商品，商品的实际重量值与结算（标称）重量值之差不应超过商品的负偏差；</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lastRenderedPageBreak/>
        <w:t xml:space="preserve">　　（三）等准确度称重计量器具核称法：用另一台最大允许误差优于或等于所经销商品的负偏差的计量器具直接核称商品，商品的核称重量值与结算（标称）重量值之差不应超过商品的负偏差的2倍。</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第七条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本办法附表１中食品类尚未列出品种名称的，按照食品类相应价格档次的规定执行。</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第八条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被核称商品的含水量及含水量计算应当符合国家标准、行业标准的有关规定。</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第九条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零售商品经销者不得拒绝市场监督管理部门依法对销售商品的计量监督检查。</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第十条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凡有下列情况之一的，县级以上地方市场监督管理部门可以依照计量法、消费者权益保护法等有关法律、法规或者规章给予行政处罚：</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（一）零售商品经销者违反本办法第三条规定的；</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（二）零售商品经销者销售的商品，经核称超出本办法附表１、附表2规定的负偏差，给消费者造成损失的。</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第十一条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本办法规定的行政处罚，由县级以上地方市场监督管理部门决定。</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lastRenderedPageBreak/>
        <w:t xml:space="preserve">　　县级以上地方市场监督管理部门按照本办法实行行政处罚，必须遵守国家市场监督管理总局关于行政案件办理程序的有关规定。</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第十二条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行政相对人对行政处罚决定不服的，可以依法申请行政复议或者提起行政诉讼。</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第十三条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本办法由国家市场监督管理总局负责解释。</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黑体" w:eastAsia="黑体" w:hAnsi="黑体" w:cs="宋体" w:hint="eastAsia"/>
          <w:color w:val="333333"/>
          <w:kern w:val="0"/>
          <w:sz w:val="32"/>
          <w:szCs w:val="32"/>
        </w:rPr>
        <w:t>第十四条</w:t>
      </w:r>
      <w:r w:rsidRPr="00B45369">
        <w:rPr>
          <w:rFonts w:ascii="宋体" w:eastAsia="宋体" w:hAnsi="宋体" w:cs="宋体" w:hint="eastAsia"/>
          <w:color w:val="333333"/>
          <w:kern w:val="0"/>
          <w:sz w:val="32"/>
          <w:szCs w:val="32"/>
        </w:rPr>
        <w:t> </w:t>
      </w:r>
      <w:r w:rsidRPr="00B45369">
        <w:rPr>
          <w:rFonts w:ascii="仿宋" w:eastAsia="仿宋" w:hAnsi="仿宋" w:cs="宋体" w:hint="eastAsia"/>
          <w:color w:val="333333"/>
          <w:kern w:val="0"/>
          <w:sz w:val="32"/>
          <w:szCs w:val="32"/>
        </w:rPr>
        <w:t>本办法自2004年12月1日起施行。原国家技术监督局、国内贸易部、国家工商行政管理局联合发布的《零售商品称重计量监督规定》（技监局发[1993]26号）同时废止。</w:t>
      </w:r>
    </w:p>
    <w:p w:rsidR="00B45369" w:rsidRPr="00B45369" w:rsidRDefault="00B45369" w:rsidP="00B45369">
      <w:pPr>
        <w:widowControl/>
        <w:jc w:val="left"/>
        <w:rPr>
          <w:rFonts w:ascii="宋体" w:eastAsia="宋体" w:hAnsi="宋体" w:cs="宋体"/>
          <w:kern w:val="0"/>
          <w:sz w:val="24"/>
        </w:rPr>
      </w:pPr>
      <w:r w:rsidRPr="00B45369">
        <w:rPr>
          <w:rFonts w:ascii="宋体" w:eastAsia="宋体" w:hAnsi="宋体" w:cs="宋体" w:hint="eastAsia"/>
          <w:color w:val="333333"/>
          <w:kern w:val="0"/>
          <w:szCs w:val="21"/>
          <w:shd w:val="clear" w:color="auto" w:fill="FFFFFF"/>
        </w:rPr>
        <w:t> </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w:t>
      </w:r>
      <w:r w:rsidRPr="00B45369">
        <w:rPr>
          <w:rFonts w:ascii="仿宋" w:eastAsia="仿宋" w:hAnsi="仿宋" w:cs="宋体" w:hint="eastAsia"/>
          <w:b/>
          <w:bCs/>
          <w:color w:val="333333"/>
          <w:kern w:val="0"/>
          <w:sz w:val="32"/>
          <w:szCs w:val="32"/>
        </w:rPr>
        <w:t>附表1：</w:t>
      </w:r>
    </w:p>
    <w:p w:rsidR="00B45369" w:rsidRPr="00B45369" w:rsidRDefault="00B45369" w:rsidP="00B45369">
      <w:pPr>
        <w:widowControl/>
        <w:shd w:val="clear" w:color="auto" w:fill="FFFFFF"/>
        <w:spacing w:line="630" w:lineRule="atLeast"/>
        <w:jc w:val="center"/>
        <w:rPr>
          <w:rFonts w:ascii="仿宋" w:eastAsia="仿宋" w:hAnsi="仿宋" w:cs="宋体"/>
          <w:color w:val="333333"/>
          <w:kern w:val="0"/>
          <w:sz w:val="32"/>
          <w:szCs w:val="32"/>
        </w:rPr>
      </w:pPr>
      <w:r>
        <w:rPr>
          <w:rFonts w:ascii="仿宋" w:eastAsia="仿宋" w:hAnsi="仿宋" w:cs="宋体"/>
          <w:noProof/>
          <w:color w:val="333333"/>
          <w:kern w:val="0"/>
          <w:sz w:val="32"/>
          <w:szCs w:val="32"/>
        </w:rPr>
        <w:lastRenderedPageBreak/>
        <w:drawing>
          <wp:inline distT="0" distB="0" distL="0" distR="0">
            <wp:extent cx="5716905" cy="6170295"/>
            <wp:effectExtent l="0" t="0" r="0" b="1905"/>
            <wp:docPr id="3" name="图片 3" descr="http://gkml.samr.gov.cn/nsjg/fgs/202011/W020211116529427514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ml.samr.gov.cn/nsjg/fgs/202011/W02021111652942751423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6170295"/>
                    </a:xfrm>
                    <a:prstGeom prst="rect">
                      <a:avLst/>
                    </a:prstGeom>
                    <a:noFill/>
                    <a:ln>
                      <a:noFill/>
                    </a:ln>
                  </pic:spPr>
                </pic:pic>
              </a:graphicData>
            </a:graphic>
          </wp:inline>
        </w:drawing>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﹡注：活禽、活鱼、水发物除外。</w:t>
      </w:r>
    </w:p>
    <w:p w:rsidR="00B45369" w:rsidRPr="00B45369" w:rsidRDefault="00B45369" w:rsidP="00B45369">
      <w:pPr>
        <w:widowControl/>
        <w:jc w:val="left"/>
        <w:rPr>
          <w:rFonts w:ascii="宋体" w:eastAsia="宋体" w:hAnsi="宋体" w:cs="宋体"/>
          <w:kern w:val="0"/>
          <w:sz w:val="24"/>
        </w:rPr>
      </w:pPr>
      <w:r w:rsidRPr="00B45369">
        <w:rPr>
          <w:rFonts w:ascii="宋体" w:eastAsia="宋体" w:hAnsi="宋体" w:cs="宋体" w:hint="eastAsia"/>
          <w:color w:val="333333"/>
          <w:kern w:val="0"/>
          <w:szCs w:val="21"/>
          <w:shd w:val="clear" w:color="auto" w:fill="FFFFFF"/>
        </w:rPr>
        <w:t> </w:t>
      </w:r>
    </w:p>
    <w:p w:rsidR="00B45369" w:rsidRPr="00B45369" w:rsidRDefault="00B45369" w:rsidP="00B45369">
      <w:pPr>
        <w:widowControl/>
        <w:shd w:val="clear" w:color="auto" w:fill="FFFFFF"/>
        <w:spacing w:line="630" w:lineRule="atLeast"/>
        <w:rPr>
          <w:rFonts w:ascii="仿宋" w:eastAsia="仿宋" w:hAnsi="仿宋" w:cs="宋体"/>
          <w:color w:val="333333"/>
          <w:kern w:val="0"/>
          <w:sz w:val="32"/>
          <w:szCs w:val="32"/>
        </w:rPr>
      </w:pPr>
      <w:r w:rsidRPr="00B45369">
        <w:rPr>
          <w:rFonts w:ascii="仿宋" w:eastAsia="仿宋" w:hAnsi="仿宋" w:cs="宋体" w:hint="eastAsia"/>
          <w:color w:val="333333"/>
          <w:kern w:val="0"/>
          <w:sz w:val="32"/>
          <w:szCs w:val="32"/>
        </w:rPr>
        <w:t xml:space="preserve">　　附表2：</w:t>
      </w:r>
    </w:p>
    <w:p w:rsidR="00B45369" w:rsidRPr="00B45369" w:rsidRDefault="00B45369" w:rsidP="00B45369">
      <w:pPr>
        <w:widowControl/>
        <w:shd w:val="clear" w:color="auto" w:fill="FFFFFF"/>
        <w:spacing w:line="630" w:lineRule="atLeast"/>
        <w:jc w:val="center"/>
        <w:rPr>
          <w:rFonts w:ascii="仿宋" w:eastAsia="仿宋" w:hAnsi="仿宋" w:cs="宋体"/>
          <w:color w:val="333333"/>
          <w:kern w:val="0"/>
          <w:sz w:val="32"/>
          <w:szCs w:val="32"/>
        </w:rPr>
      </w:pPr>
      <w:r>
        <w:rPr>
          <w:rFonts w:ascii="仿宋" w:eastAsia="仿宋" w:hAnsi="仿宋" w:cs="宋体"/>
          <w:noProof/>
          <w:color w:val="333333"/>
          <w:kern w:val="0"/>
          <w:sz w:val="32"/>
          <w:szCs w:val="32"/>
        </w:rPr>
        <w:lastRenderedPageBreak/>
        <w:drawing>
          <wp:inline distT="0" distB="0" distL="0" distR="0">
            <wp:extent cx="5502275" cy="1240155"/>
            <wp:effectExtent l="0" t="0" r="3175" b="0"/>
            <wp:docPr id="2" name="图片 2" descr="http://gkml.samr.gov.cn/nsjg/fgs/202011/W020211116529427529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kml.samr.gov.cn/nsjg/fgs/202011/W0202111165294275296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2275" cy="1240155"/>
                    </a:xfrm>
                    <a:prstGeom prst="rect">
                      <a:avLst/>
                    </a:prstGeom>
                    <a:noFill/>
                    <a:ln>
                      <a:noFill/>
                    </a:ln>
                  </pic:spPr>
                </pic:pic>
              </a:graphicData>
            </a:graphic>
          </wp:inline>
        </w:drawing>
      </w:r>
    </w:p>
    <w:p w:rsidR="00891FFC" w:rsidRDefault="00891FFC"/>
    <w:sectPr w:rsidR="00891FFC">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BA" w:rsidRDefault="009339BA">
      <w:r>
        <w:separator/>
      </w:r>
    </w:p>
  </w:endnote>
  <w:endnote w:type="continuationSeparator" w:id="0">
    <w:p w:rsidR="009339BA" w:rsidRDefault="0093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377E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377E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EB3BC6" w:rsidRDefault="00EB3BC6" w:rsidP="00EB3BC6">
    <w:pPr>
      <w:pStyle w:val="a6"/>
      <w:pBdr>
        <w:left w:val="none" w:sz="0" w:space="0" w:color="auto"/>
      </w:pBdr>
      <w:tabs>
        <w:tab w:val="clear" w:pos="8306"/>
        <w:tab w:val="right" w:pos="1560"/>
      </w:tabs>
      <w:ind w:leftChars="742" w:left="1558" w:rightChars="229" w:right="481" w:firstLine="2"/>
      <w:jc w:val="right"/>
      <w:rPr>
        <w:rFonts w:ascii="宋体" w:eastAsia="宋体" w:hAnsi="宋体" w:cs="宋体"/>
        <w:b/>
        <w:bCs/>
        <w:color w:val="005192"/>
        <w:sz w:val="28"/>
        <w:szCs w:val="44"/>
      </w:rPr>
    </w:pPr>
    <w:r w:rsidRPr="00EB3BC6">
      <w:rPr>
        <w:rFonts w:ascii="宋体" w:eastAsia="宋体" w:hAnsi="宋体" w:cs="宋体" w:hint="eastAsia"/>
        <w:b/>
        <w:bCs/>
        <w:color w:val="005192"/>
        <w:sz w:val="28"/>
        <w:szCs w:val="44"/>
      </w:rPr>
      <w:t>国家质量监督检验检疫总局、国家工商行政管理总局</w:t>
    </w:r>
  </w:p>
  <w:p w:rsidR="00891FFC" w:rsidRDefault="00D7266E" w:rsidP="00EB3BC6">
    <w:pPr>
      <w:pStyle w:val="a6"/>
      <w:pBdr>
        <w:left w:val="none" w:sz="0" w:space="0" w:color="auto"/>
      </w:pBdr>
      <w:tabs>
        <w:tab w:val="clear" w:pos="8306"/>
        <w:tab w:val="right" w:pos="1560"/>
      </w:tabs>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BA" w:rsidRDefault="009339BA">
      <w:r>
        <w:separator/>
      </w:r>
    </w:p>
  </w:footnote>
  <w:footnote w:type="continuationSeparator" w:id="0">
    <w:p w:rsidR="009339BA" w:rsidRDefault="00933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94D6A"/>
    <w:rsid w:val="000F7C3B"/>
    <w:rsid w:val="00172A27"/>
    <w:rsid w:val="00190F0F"/>
    <w:rsid w:val="00296C8E"/>
    <w:rsid w:val="00637CAC"/>
    <w:rsid w:val="00750507"/>
    <w:rsid w:val="00891FFC"/>
    <w:rsid w:val="00915729"/>
    <w:rsid w:val="009339BA"/>
    <w:rsid w:val="00960532"/>
    <w:rsid w:val="009C3BD1"/>
    <w:rsid w:val="009D125D"/>
    <w:rsid w:val="00AC5533"/>
    <w:rsid w:val="00B45369"/>
    <w:rsid w:val="00B900B7"/>
    <w:rsid w:val="00BA7A05"/>
    <w:rsid w:val="00C26E20"/>
    <w:rsid w:val="00C377EF"/>
    <w:rsid w:val="00D7266E"/>
    <w:rsid w:val="00EB3BC6"/>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4536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453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4536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45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4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214</Words>
  <Characters>1223</Characters>
  <Application>Microsoft Office Word</Application>
  <DocSecurity>0</DocSecurity>
  <Lines>10</Lines>
  <Paragraphs>2</Paragraphs>
  <ScaleCrop>false</ScaleCrop>
  <Company>Home</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29</cp:revision>
  <cp:lastPrinted>2021-10-26T03:30:00Z</cp:lastPrinted>
  <dcterms:created xsi:type="dcterms:W3CDTF">2021-09-09T02:41:00Z</dcterms:created>
  <dcterms:modified xsi:type="dcterms:W3CDTF">2022-01-17T02:57:00Z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