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3D" w:rsidRPr="0085713D" w:rsidRDefault="0085713D" w:rsidP="0085713D">
      <w:pPr>
        <w:widowControl/>
        <w:shd w:val="clear" w:color="auto" w:fill="FFFFFF"/>
        <w:spacing w:line="560" w:lineRule="atLeast"/>
        <w:jc w:val="center"/>
        <w:rPr>
          <w:rFonts w:ascii="方正小标宋简体" w:eastAsia="方正小标宋简体" w:hAnsi="方正小标宋简体" w:cs="宋体"/>
          <w:color w:val="333333"/>
          <w:kern w:val="0"/>
          <w:szCs w:val="21"/>
        </w:rPr>
      </w:pPr>
      <w:r w:rsidRPr="0085713D">
        <w:rPr>
          <w:rFonts w:ascii="方正小标宋_GBK" w:eastAsia="方正小标宋_GBK" w:hAnsi="等线" w:cs="宋体" w:hint="eastAsia"/>
          <w:color w:val="333333"/>
          <w:kern w:val="0"/>
          <w:sz w:val="44"/>
          <w:szCs w:val="44"/>
        </w:rPr>
        <w:br/>
      </w:r>
      <w:r w:rsidRPr="0085713D">
        <w:rPr>
          <w:rFonts w:ascii="方正小标宋简体" w:eastAsia="方正小标宋简体" w:hAnsi="方正小标宋简体" w:cs="宋体" w:hint="eastAsia"/>
          <w:color w:val="333333"/>
          <w:kern w:val="0"/>
          <w:sz w:val="44"/>
          <w:szCs w:val="44"/>
        </w:rPr>
        <w:t>商标代理监督管理规定</w:t>
      </w:r>
    </w:p>
    <w:p w:rsidR="0085713D" w:rsidRPr="0085713D" w:rsidRDefault="0085713D" w:rsidP="0085713D">
      <w:pPr>
        <w:widowControl/>
        <w:shd w:val="clear" w:color="auto" w:fill="FFFFFF"/>
        <w:rPr>
          <w:rFonts w:ascii="等线" w:eastAsia="等线" w:hAnsi="等线" w:cs="宋体" w:hint="eastAsia"/>
          <w:color w:val="333333"/>
          <w:kern w:val="0"/>
          <w:szCs w:val="21"/>
        </w:rPr>
      </w:pPr>
      <w:r w:rsidRPr="0085713D">
        <w:rPr>
          <w:rFonts w:ascii="等线" w:eastAsia="等线" w:hAnsi="等线" w:cs="宋体" w:hint="eastAsia"/>
          <w:color w:val="333333"/>
          <w:kern w:val="0"/>
          <w:szCs w:val="21"/>
        </w:rPr>
        <w:t> </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楷体_GB2312" w:eastAsia="楷体_GB2312" w:hAnsi="等线" w:cs="宋体" w:hint="eastAsia"/>
          <w:color w:val="333333"/>
          <w:kern w:val="0"/>
          <w:sz w:val="32"/>
          <w:szCs w:val="32"/>
        </w:rPr>
        <w:t>（</w:t>
      </w:r>
      <w:r w:rsidRPr="0085713D">
        <w:rPr>
          <w:rFonts w:ascii="Times New Roman" w:eastAsia="楷体_GB2312" w:hAnsi="Times New Roman" w:cs="Times New Roman" w:hint="eastAsia"/>
          <w:color w:val="333333"/>
          <w:kern w:val="0"/>
          <w:sz w:val="32"/>
          <w:szCs w:val="32"/>
        </w:rPr>
        <w:t>2022</w:t>
      </w:r>
      <w:r w:rsidRPr="0085713D">
        <w:rPr>
          <w:rFonts w:ascii="楷体_GB2312" w:eastAsia="楷体_GB2312" w:hAnsi="等线" w:cs="宋体" w:hint="eastAsia"/>
          <w:color w:val="333333"/>
          <w:kern w:val="0"/>
          <w:sz w:val="32"/>
          <w:szCs w:val="32"/>
        </w:rPr>
        <w:t>年</w:t>
      </w:r>
      <w:r w:rsidRPr="0085713D">
        <w:rPr>
          <w:rFonts w:ascii="Times New Roman" w:eastAsia="楷体_GB2312" w:hAnsi="Times New Roman" w:cs="Times New Roman" w:hint="eastAsia"/>
          <w:color w:val="333333"/>
          <w:kern w:val="0"/>
          <w:sz w:val="32"/>
          <w:szCs w:val="32"/>
        </w:rPr>
        <w:t>10</w:t>
      </w:r>
      <w:r w:rsidRPr="0085713D">
        <w:rPr>
          <w:rFonts w:ascii="楷体_GB2312" w:eastAsia="楷体_GB2312" w:hAnsi="等线" w:cs="宋体" w:hint="eastAsia"/>
          <w:color w:val="333333"/>
          <w:kern w:val="0"/>
          <w:sz w:val="32"/>
          <w:szCs w:val="32"/>
        </w:rPr>
        <w:t>月</w:t>
      </w:r>
      <w:r w:rsidRPr="0085713D">
        <w:rPr>
          <w:rFonts w:ascii="Times New Roman" w:eastAsia="楷体_GB2312" w:hAnsi="Times New Roman" w:cs="Times New Roman" w:hint="eastAsia"/>
          <w:color w:val="333333"/>
          <w:kern w:val="0"/>
          <w:sz w:val="32"/>
          <w:szCs w:val="32"/>
        </w:rPr>
        <w:t>27</w:t>
      </w:r>
      <w:r w:rsidRPr="0085713D">
        <w:rPr>
          <w:rFonts w:ascii="楷体_GB2312" w:eastAsia="楷体_GB2312" w:hAnsi="等线" w:cs="宋体" w:hint="eastAsia"/>
          <w:color w:val="333333"/>
          <w:kern w:val="0"/>
          <w:sz w:val="32"/>
          <w:szCs w:val="32"/>
        </w:rPr>
        <w:t>日国家市场监督管理总局令第</w:t>
      </w:r>
      <w:r w:rsidRPr="0085713D">
        <w:rPr>
          <w:rFonts w:ascii="Times New Roman" w:eastAsia="楷体_GB2312" w:hAnsi="Times New Roman" w:cs="Times New Roman" w:hint="eastAsia"/>
          <w:color w:val="333333"/>
          <w:kern w:val="0"/>
          <w:sz w:val="32"/>
          <w:szCs w:val="32"/>
        </w:rPr>
        <w:t>63</w:t>
      </w:r>
      <w:r w:rsidRPr="0085713D">
        <w:rPr>
          <w:rFonts w:ascii="楷体_GB2312" w:eastAsia="楷体_GB2312" w:hAnsi="等线" w:cs="宋体" w:hint="eastAsia"/>
          <w:color w:val="333333"/>
          <w:kern w:val="0"/>
          <w:sz w:val="32"/>
          <w:szCs w:val="32"/>
        </w:rPr>
        <w:t xml:space="preserve">号公布 </w:t>
      </w:r>
      <w:r w:rsidRPr="0085713D">
        <w:rPr>
          <w:rFonts w:ascii="楷体_GB2312" w:eastAsia="楷体_GB2312" w:hAnsi="等线" w:cs="宋体" w:hint="eastAsia"/>
          <w:color w:val="333333"/>
          <w:kern w:val="0"/>
          <w:sz w:val="32"/>
          <w:szCs w:val="32"/>
        </w:rPr>
        <w:t> </w:t>
      </w:r>
      <w:r w:rsidRPr="0085713D">
        <w:rPr>
          <w:rFonts w:ascii="楷体_GB2312" w:eastAsia="楷体_GB2312" w:hAnsi="等线" w:cs="宋体" w:hint="eastAsia"/>
          <w:color w:val="333333"/>
          <w:kern w:val="0"/>
          <w:sz w:val="32"/>
          <w:szCs w:val="32"/>
        </w:rPr>
        <w:t>自</w:t>
      </w:r>
      <w:r w:rsidRPr="0085713D">
        <w:rPr>
          <w:rFonts w:ascii="Times New Roman" w:eastAsia="楷体_GB2312" w:hAnsi="Times New Roman" w:cs="Times New Roman" w:hint="eastAsia"/>
          <w:color w:val="333333"/>
          <w:kern w:val="0"/>
          <w:sz w:val="32"/>
          <w:szCs w:val="32"/>
        </w:rPr>
        <w:t>2022</w:t>
      </w:r>
      <w:r w:rsidRPr="0085713D">
        <w:rPr>
          <w:rFonts w:ascii="楷体_GB2312" w:eastAsia="楷体_GB2312" w:hAnsi="等线" w:cs="宋体" w:hint="eastAsia"/>
          <w:color w:val="333333"/>
          <w:kern w:val="0"/>
          <w:sz w:val="32"/>
          <w:szCs w:val="32"/>
        </w:rPr>
        <w:t>年</w:t>
      </w:r>
      <w:r w:rsidRPr="0085713D">
        <w:rPr>
          <w:rFonts w:ascii="Times New Roman" w:eastAsia="楷体_GB2312" w:hAnsi="Times New Roman" w:cs="Times New Roman" w:hint="eastAsia"/>
          <w:color w:val="333333"/>
          <w:kern w:val="0"/>
          <w:sz w:val="32"/>
          <w:szCs w:val="32"/>
        </w:rPr>
        <w:t>12</w:t>
      </w:r>
      <w:r w:rsidRPr="0085713D">
        <w:rPr>
          <w:rFonts w:ascii="楷体_GB2312" w:eastAsia="楷体_GB2312" w:hAnsi="等线" w:cs="宋体" w:hint="eastAsia"/>
          <w:color w:val="333333"/>
          <w:kern w:val="0"/>
          <w:sz w:val="32"/>
          <w:szCs w:val="32"/>
        </w:rPr>
        <w:t>月</w:t>
      </w:r>
      <w:r w:rsidRPr="0085713D">
        <w:rPr>
          <w:rFonts w:ascii="Times New Roman" w:eastAsia="楷体_GB2312" w:hAnsi="Times New Roman" w:cs="Times New Roman" w:hint="eastAsia"/>
          <w:color w:val="333333"/>
          <w:kern w:val="0"/>
          <w:sz w:val="32"/>
          <w:szCs w:val="32"/>
        </w:rPr>
        <w:t>1</w:t>
      </w:r>
      <w:r w:rsidRPr="0085713D">
        <w:rPr>
          <w:rFonts w:ascii="楷体_GB2312" w:eastAsia="楷体_GB2312" w:hAnsi="等线" w:cs="宋体" w:hint="eastAsia"/>
          <w:color w:val="333333"/>
          <w:kern w:val="0"/>
          <w:sz w:val="32"/>
          <w:szCs w:val="32"/>
        </w:rPr>
        <w:t>日起施行）</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第一章 </w:t>
      </w:r>
      <w:r w:rsidRPr="0085713D">
        <w:rPr>
          <w:rFonts w:ascii="宋体" w:eastAsia="宋体" w:hAnsi="宋体" w:cs="宋体" w:hint="eastAsia"/>
          <w:color w:val="333333"/>
          <w:kern w:val="0"/>
          <w:sz w:val="32"/>
          <w:szCs w:val="32"/>
        </w:rPr>
        <w:t> </w:t>
      </w:r>
      <w:r w:rsidRPr="0085713D">
        <w:rPr>
          <w:rFonts w:ascii="黑体" w:eastAsia="黑体" w:hAnsi="黑体" w:cs="宋体" w:hint="eastAsia"/>
          <w:color w:val="333333"/>
          <w:kern w:val="0"/>
          <w:sz w:val="32"/>
          <w:szCs w:val="32"/>
        </w:rPr>
        <w:t xml:space="preserve">总 </w:t>
      </w:r>
      <w:r>
        <w:rPr>
          <w:rFonts w:ascii="宋体" w:eastAsia="宋体" w:hAnsi="宋体" w:cs="宋体" w:hint="eastAsia"/>
          <w:color w:val="333333"/>
          <w:kern w:val="0"/>
          <w:sz w:val="32"/>
          <w:szCs w:val="32"/>
        </w:rPr>
        <w:t> </w:t>
      </w:r>
      <w:bookmarkStart w:id="0" w:name="_GoBack"/>
      <w:bookmarkEnd w:id="0"/>
      <w:r w:rsidRPr="0085713D">
        <w:rPr>
          <w:rFonts w:ascii="黑体" w:eastAsia="黑体" w:hAnsi="黑体" w:cs="宋体" w:hint="eastAsia"/>
          <w:color w:val="333333"/>
          <w:kern w:val="0"/>
          <w:sz w:val="32"/>
          <w:szCs w:val="32"/>
        </w:rPr>
        <w:t>则</w:t>
      </w:r>
    </w:p>
    <w:p w:rsidR="0085713D" w:rsidRPr="0085713D" w:rsidRDefault="0085713D" w:rsidP="0085713D">
      <w:pPr>
        <w:widowControl/>
        <w:shd w:val="clear" w:color="auto" w:fill="FFFFFF"/>
        <w:spacing w:line="560" w:lineRule="atLeast"/>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第一条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为了规范商标代理行为，提升商标代理服务质量，维护商标代理市场的正常秩序，促进商标代理行业健康发展，根据《中华人民共和国商标法》（以下简称商标法）、《中华人民共和国商标法实施条例》（以下简称商标法实施条例）以及其他有关法律法规，制定本规定。</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商标代理机构接受委托人的委托，可以以委托人的名义在代理权限范围内依法办理以下事宜：</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（一）商标注册申请；</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（二）商标变更、续展、转让、注销；</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（三）商标异议；</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（四）商标撤销、无效宣告；</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（五）商标复审、商标纠纷的处理；</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（六）其他商标事宜。</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本规定所称商标代理机构，包括经市场主体登记机关依法登记从事商标代理业务的服务机构和从事商标代理业务的律师事务所。</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第三条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商标代理机构和商标代理从业人员应当遵守法律法规和国家有关规定，遵循诚实信用原则，恪守职业道德，规范从业行为，提升商标代理服务质量，维护委托人的合法权益和商标代理市场正常秩序。</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本规定所称商标代理从业人员包括商标代理机构的负责人，以及受商标代理机构指派承办商标代理业务的本机构工作人员。</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商标代理从业人员应当遵纪守法，有良好的信用状况，品行良好，熟悉商标法律法规，具备依法从事商标代理业务的能力。</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第四条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商标代理行业组织是商标代理行业的自律性组织。</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行业组织应当严格行业自律，依照章程规定，制定行业自律规范和惩戒规则，加强业务培训和职业道德、职业纪律教育，组织引导商标代理机构和商标代理从业人员依法规范从事代理业务，不断提高行业服务水平。</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知识产权管理部门依法加强对商标代理行业组织的监督和指导，支持商标代理行业组织加强行业自律和规范。</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鼓励商标代理机构、商标代理从业人员依法参加商标代理行业组织。</w:t>
      </w:r>
    </w:p>
    <w:p w:rsidR="0085713D" w:rsidRPr="0085713D" w:rsidRDefault="0085713D" w:rsidP="0085713D">
      <w:pPr>
        <w:widowControl/>
        <w:shd w:val="clear" w:color="auto" w:fill="FFFFFF"/>
        <w:spacing w:line="560" w:lineRule="atLeast"/>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第二章 </w:t>
      </w:r>
      <w:r w:rsidRPr="0085713D">
        <w:rPr>
          <w:rFonts w:ascii="宋体" w:eastAsia="宋体" w:hAnsi="宋体" w:cs="宋体" w:hint="eastAsia"/>
          <w:color w:val="333333"/>
          <w:kern w:val="0"/>
          <w:sz w:val="32"/>
          <w:szCs w:val="32"/>
        </w:rPr>
        <w:t> </w:t>
      </w:r>
      <w:r w:rsidRPr="0085713D">
        <w:rPr>
          <w:rFonts w:ascii="黑体" w:eastAsia="黑体" w:hAnsi="黑体" w:cs="宋体" w:hint="eastAsia"/>
          <w:color w:val="333333"/>
          <w:kern w:val="0"/>
          <w:sz w:val="32"/>
          <w:szCs w:val="32"/>
        </w:rPr>
        <w:t>商标代理机构备案</w:t>
      </w:r>
    </w:p>
    <w:p w:rsidR="0085713D" w:rsidRPr="0085713D" w:rsidRDefault="0085713D" w:rsidP="0085713D">
      <w:pPr>
        <w:widowControl/>
        <w:shd w:val="clear" w:color="auto" w:fill="FFFFFF"/>
        <w:spacing w:line="560" w:lineRule="atLeast"/>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第五条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商标代理机构从事国家知识产权局主管的商标事宜代理业务的，应当依法及时向国家知识产权局备案。</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商标代理机构备案的有效期为三年。有效期届满需要继续从事代理业务的，商标代理机构可以在有效期届满前六个月内办理延续备案。每次延续备案的有效期为三年，自原备案有效期满次日起计算。</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第六条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商标代理机构的备案信息包括：</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（一）营业执照或者律师事务所执业许可证；</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（二）商标代理机构的名称、住所、联系方式、统一社会信用代码，负责人、非上市公司的股东、合伙人姓名；</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（三）商标代理从业人员姓名、身份证件号码、联系方式；</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（四）法律法规以及国家知识产权局规定应当提供的其他信息。</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国家知识产权局能够通过政务信息共享平台获取的相关信息，不得要求商标代理机构重复提供。</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第七条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商标代理机构备案信息发生变化的，应当自实际发生变化或者有关主管部门登记、批准之日起三十日内向国家知识产权局办理变更备案，并提交相应材料。</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第八条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申请市场主体注销登记，备案有效期届满未办理延续或者自行决定不再从事商标代理业务，被撤销或者被吊销营业执照、律师事务所执业许可证，或者国家知识产权局决定永久停止受理其办理商标代理业务的，应当在妥善处理未办结的商标代理业务后，向国家知识产权局办理注销备案。</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商标代理机构存在前款规定情形的，国家知识产权局应当在商标网上服务系统、商标代理系统中进行标注，并不再受理其提交的商标代理业务申请，但处理未办结商标代理业务的除外。</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应当在申请市场主体注销登记或者自行决定不再从事商标代理业务前，或者自接到撤销、吊销决定书、永久停止受理其办理商标代理业务决定之日起三十日内，按照法律法规规定和合同约定妥善处理未办结的商标代理业务，通知委托人</w:t>
      </w:r>
      <w:r w:rsidRPr="0085713D">
        <w:rPr>
          <w:rFonts w:ascii="仿宋_GB2312" w:eastAsia="仿宋_GB2312" w:hAnsi="等线" w:cs="宋体" w:hint="eastAsia"/>
          <w:color w:val="333333"/>
          <w:kern w:val="0"/>
          <w:sz w:val="32"/>
          <w:szCs w:val="32"/>
        </w:rPr>
        <w:lastRenderedPageBreak/>
        <w:t>办理商标代理变更，或者经委托人同意与其他已经备案的商标代理机构签订业务移转协议。</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第九条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商标代理机构提交的备案、变更备案、延续备案或者注销备案材料符合规定的，国家知识产权局应当及时予以办理，通知商标代理机构并依法向社会公示。</w:t>
      </w:r>
    </w:p>
    <w:p w:rsidR="0085713D" w:rsidRPr="0085713D" w:rsidRDefault="0085713D" w:rsidP="0085713D">
      <w:pPr>
        <w:widowControl/>
        <w:shd w:val="clear" w:color="auto" w:fill="FFFFFF"/>
        <w:spacing w:line="560" w:lineRule="atLeast"/>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第三章 </w:t>
      </w:r>
      <w:r w:rsidRPr="0085713D">
        <w:rPr>
          <w:rFonts w:ascii="宋体" w:eastAsia="宋体" w:hAnsi="宋体" w:cs="宋体" w:hint="eastAsia"/>
          <w:color w:val="333333"/>
          <w:kern w:val="0"/>
          <w:sz w:val="32"/>
          <w:szCs w:val="32"/>
        </w:rPr>
        <w:t> </w:t>
      </w:r>
      <w:r w:rsidRPr="0085713D">
        <w:rPr>
          <w:rFonts w:ascii="黑体" w:eastAsia="黑体" w:hAnsi="黑体" w:cs="宋体" w:hint="eastAsia"/>
          <w:color w:val="333333"/>
          <w:kern w:val="0"/>
          <w:sz w:val="32"/>
          <w:szCs w:val="32"/>
        </w:rPr>
        <w:t>商标代理行为规范</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商标代理机构从事商标代理业务不得采取欺诈、诱骗等不正当手段，不得损害国家利益、社会公共利益和他人合法权益。</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不得以其法定代表人、股东、合伙人、实际控制人、高级管理人员、员工等的名义变相申请注册或者受让其代理服务以外的其他商标，也不得通过另行设立市场主体或者通过与其存在关联关系的市场主体等其他方式变相从事上述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第十一条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商标代理机构应当积极履行管理职责，规范本机构商标代理从业人员职业行为，建立健全质量管理、利益冲突审查、恶意申请筛查、投诉处理、保密管理、人员管理、财务管理、</w:t>
      </w:r>
      <w:r w:rsidRPr="0085713D">
        <w:rPr>
          <w:rFonts w:ascii="仿宋_GB2312" w:eastAsia="仿宋_GB2312" w:hAnsi="等线" w:cs="宋体" w:hint="eastAsia"/>
          <w:color w:val="333333"/>
          <w:kern w:val="0"/>
          <w:sz w:val="32"/>
          <w:szCs w:val="32"/>
        </w:rPr>
        <w:lastRenderedPageBreak/>
        <w:t>档案管理等管理制度，对本机构商标代理从业人员遵守法律法规、行业规范等情况进行监督，发现问题及时予以纠正。</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商标代理机构应当加强对本机构商标代理从业人员的职业道德和职业纪律教育，组织开展业务学习，为其参加业务培训和继续教育提供条件。</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第十二条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商标代理机构应当在其住所或者经营场所醒目位置悬挂营业执照或者律师事务所执业许可证。</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通过网络从事商标代理业务的，应当在其网站首页或者从事经营活动的主页面显著位置持续公示机构名称、经营场所、经营范围等营业执照或者律师事务所执业许可证记载的信息，以及其他商标代理业务备案信息等。</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第十三条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商标代理机构从事商标代理业务，应当与委托人以书面形式签订商标代理委托合同，依法约定双方的权利义务以及其他事项。商标代理委托合同不得违反法律法规以及国家有关规定。</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第十四条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商标代理机构接受委托办理商标代理业务，应当进行利益冲突审查，不得在同一案件中接受有利益冲突的双方当事人委托。</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lastRenderedPageBreak/>
        <w:t>第十五条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商标代理机构应当按照委托人的要求依法办理商标注册申请或者其他商标事宜；在代理过程中应当遵守关于商业秘密和个人信息保护的有关规定。</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委托人申请注册的商标可能存在商标法规定不得注册情形的，商标代理机构应当以书面通知等方式明确告知委托人。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商标代理机构知道或者应当知道委托人申请注册的商标属于商标法第四条、第十五条和第三十二条规定情形的，不得接受其委托。</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应当严格履行代理职责，依据商标法第二十七条，对委托人所申报的事项和提供的商标注册申请或者办理其他商标事宜的材料进行核对，及时向委托人通报委托事项办理进展情况、送交法律文书和材料，无正当理由不得拖延。</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第十六条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商标代理从业人员应当根据商标代理机构的指派承办商标代理业务，不得以个人名义自行接受委托。</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商标代理从业人员不得同时在两个以上商标代理机构从事商标代理业务。</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第十七条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商标代理机构向国家知识产权局提交的有关文件，应当加盖本代理机构公章并由相关商标代理从业人员签字。</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商标代理机构和商标代理从业人员对其盖章和签字办理的商标代理业务负责。</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第十八条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商标代理机构应当对所承办业务的案卷和有关材料及时立卷归档，妥善保管。</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商标代理机构的记录应当真实、准确、完整。</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第十九条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商标代理机构收费应当遵守相关法律法规，遵循自愿、公平、合理和诚实信用原则，兼顾经济效益和社会效益。</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第四章 </w:t>
      </w:r>
      <w:r w:rsidRPr="0085713D">
        <w:rPr>
          <w:rFonts w:ascii="宋体" w:eastAsia="宋体" w:hAnsi="宋体" w:cs="宋体" w:hint="eastAsia"/>
          <w:color w:val="333333"/>
          <w:kern w:val="0"/>
          <w:sz w:val="32"/>
          <w:szCs w:val="32"/>
        </w:rPr>
        <w:t> </w:t>
      </w:r>
      <w:r w:rsidRPr="0085713D">
        <w:rPr>
          <w:rFonts w:ascii="黑体" w:eastAsia="黑体" w:hAnsi="黑体" w:cs="宋体" w:hint="eastAsia"/>
          <w:color w:val="333333"/>
          <w:kern w:val="0"/>
          <w:sz w:val="32"/>
          <w:szCs w:val="32"/>
        </w:rPr>
        <w:t>商标代理监管</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知识产权管理部门建立商标代理机构和商标代理从业人员信用档案。</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国家知识产权局对信用档案信息进行归集整理，开展商标代理行业分级分类评价。地方知识产权管理部门、市场监督管理部门、商标代理行业组织应当协助做好信用档案信息的归集整理工作。</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第二十一条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以下信息应当记入商标代理机构和商标代理从业人员信用档案：</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（一）商标代理机构和商标代理从业人员受到行政处罚的信息；</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（二）商标代理机构接受监督检查的信息；</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（三）商标代理机构和商标代理从业人员加入商标代理行业组织信息，受到商标代理行业组织惩戒的信息；</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（四）商标代理机构被列入经营异常名录或者严重违法失信名单的信息；</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（五）其他可以反映商标代理机构信用状况的信息。</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第二十二条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商标代理机构应当按照国家有关规定报送年度报告。</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第二十三条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故意侵犯知识产权，提交恶意商标注册申请，损害社会公共利益，从事严重违法商标代理行为，性质恶劣、情节严重、社会危害较大，受到较重行政处罚的，按照《市场监督管理严重违法失信名单管理办法》等有关规定列入严重违法失信名单。</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第二十四条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知识产权管理部门依法对商标代理机构和商标代理从业人员代理行为进行监督检查，可以依法查阅、复制有关材料，询问当事人或者其他与案件有关的单位和个人，要求当事人或者有关人员在一定期限内如实提供有关材料，以及采取其他</w:t>
      </w:r>
      <w:r w:rsidRPr="0085713D">
        <w:rPr>
          <w:rFonts w:ascii="仿宋_GB2312" w:eastAsia="仿宋_GB2312" w:hAnsi="等线" w:cs="宋体" w:hint="eastAsia"/>
          <w:color w:val="333333"/>
          <w:kern w:val="0"/>
          <w:sz w:val="32"/>
          <w:szCs w:val="32"/>
        </w:rPr>
        <w:lastRenderedPageBreak/>
        <w:t>合法必要合理的措施。商标代理机构和商标代理从业人员应当予以协助配合。</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第二十五条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知识产权管理部门应当引导商标代理机构合法从事商标代理业务，提升服务质量。</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对存在商标代理违法违规行为的商标代理机构或者商标代理从业人员，知识产权管理部门可以依职责对其进行约谈、提出意见，督促其及时整改。</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第二十六条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知识产权管理部门负责商标代理等信息的发布和公示工作，健全与市场监督管理部门之间的信息共享、查处情况通报、业务指导等协同配合机制。</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jc w:val="center"/>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第五章 </w:t>
      </w:r>
      <w:r w:rsidRPr="0085713D">
        <w:rPr>
          <w:rFonts w:ascii="宋体" w:eastAsia="宋体" w:hAnsi="宋体" w:cs="宋体" w:hint="eastAsia"/>
          <w:color w:val="333333"/>
          <w:kern w:val="0"/>
          <w:sz w:val="32"/>
          <w:szCs w:val="32"/>
        </w:rPr>
        <w:t> </w:t>
      </w:r>
      <w:r w:rsidRPr="0085713D">
        <w:rPr>
          <w:rFonts w:ascii="黑体" w:eastAsia="黑体" w:hAnsi="黑体" w:cs="宋体" w:hint="eastAsia"/>
          <w:color w:val="333333"/>
          <w:kern w:val="0"/>
          <w:sz w:val="32"/>
          <w:szCs w:val="32"/>
        </w:rPr>
        <w:t>商标代理违法行为的处理</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Times New Roman" w:eastAsia="等线" w:hAnsi="Times New Roman" w:cs="Times New Roman"/>
          <w:color w:val="333333"/>
          <w:kern w:val="0"/>
          <w:sz w:val="32"/>
          <w:szCs w:val="32"/>
        </w:rPr>
        <w:t> </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第二十七条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有下列情形之一的，属于商标法第六十八条第一款第一项规定的办理商标事宜过程中，伪造、变造或者使用伪造、变造的法律文件、印章、签名的行为：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（一）伪造、变造国家机关公文、印章的；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（二）伪造、变造国家机关之外其他单位的法律文件、印章的；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（三）伪造、变造签名的；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（四）知道或者应当知道属于伪造、变造的公文、法律文件、印章、签名，仍然使用的；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（五）其他伪造、变造或者使用伪造、变造的法律文件、印章、签名的情形。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第二十八条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有下列情形之一的，属于以诋毁其他商标代理机构等手段招徕商标代理业务的行为：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（一）编造、传播虚假信息或者误导性信息，损害其他商标代理机构商业声誉的；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（二）教唆、帮助他人编造、传播虚假信息或者误导性信息，损害其他商标代理机构商业声誉的；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（三）其他以诋毁其他商标代理机构等手段招徕商标代理业务的情形。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第二十九条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有下列情形之一的，属于商标法第六十八条第一款第二项规定的以其他不正当手段扰乱商标代理市场秩序的行为：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（一）知道或者应当知道委托人以欺骗手段或者其他不正当手段申请注册，或者利用突发事件、公众人物、舆论热点等信息，</w:t>
      </w:r>
      <w:r w:rsidRPr="0085713D">
        <w:rPr>
          <w:rFonts w:ascii="仿宋_GB2312" w:eastAsia="仿宋_GB2312" w:hAnsi="等线" w:cs="宋体" w:hint="eastAsia"/>
          <w:color w:val="333333"/>
          <w:kern w:val="0"/>
          <w:sz w:val="32"/>
          <w:szCs w:val="32"/>
        </w:rPr>
        <w:lastRenderedPageBreak/>
        <w:t>恶意申请注册有害于社会主义道德风尚或者有其他不良影响的商标，仍接受委托的；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（二）向从事商标注册和管理工作的人员进行贿赂或者利益输送，或者违反规定获取尚未公开的商标注册相关信息、请托转递涉案材料等，牟取不正当利益的；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（三）违反法律法规和国家有关从业限制的规定，聘用曾从事商标注册和管理工作的人员，经知识产权管理部门告知后，拖延或者拒绝纠正其聘用行为的；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（四）代理不同的委托人申请注册相同或者类似商品或者服务上的相同商标的，申请时在先商标已经无效的除外；</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（五）知道或者应当知道转让商标属于恶意申请的注册商标，仍帮助恶意注册人办理转让的；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（六）假冒国家机关官方网站、邮箱、电话等或者以国家机关工作人员的名义提供虚假信息误导公众，或者向委托人提供商标业务相关材料或者收取费用牟取不正当利益的；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000000"/>
          <w:kern w:val="0"/>
          <w:sz w:val="32"/>
          <w:szCs w:val="32"/>
          <w:shd w:val="clear" w:color="auto" w:fill="FFFFFF"/>
        </w:rPr>
        <w:t>（七）知道或者应当知道委托人滥用商标权仍接受委托，或者指使商标权利人滥用商标权牟取不正当利益的；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000000"/>
          <w:kern w:val="0"/>
          <w:sz w:val="32"/>
          <w:szCs w:val="32"/>
          <w:shd w:val="clear" w:color="auto" w:fill="FFFFFF"/>
        </w:rPr>
        <w:lastRenderedPageBreak/>
        <w:t>（八）知道或者应当知道委托人使用的是伪造、变造、编造的虚假商标材料，仍帮助委托人提交，或者与委托人恶意串通制作、提交虚假商标申请等材料的；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（九）虚构事实向主管部门举报其他商标代理机构的；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（十）为排挤竞争对手，以低于成本的价格提供服务的；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（十一）其他以不正当手段扰乱商标代理市场秩序的情形。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第三十条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有下列情形之一的，属于商标法第十九条第三款、第四款规定的行为：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曾经代理委托人申请注册商标或者办理异议、无效宣告以及复审事宜，委托人商标因违反商标法第四条、第十五条或者第三十二条规定，被国家知识产权局生效的决定或者裁定驳回申请、不予核准注册或者宣告无效，仍代理其在同一种或者类似商品上再次提交相同或者近似商标注册申请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（二）曾经代理委托人办理其他商标业务，知悉委托人商标存在违反商标法第四条、第十五条或者第三十二条规定的情形，仍接受委托的；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（三）违反本规定第十条第二款规定的；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（四）其他属于商标法第十九条第三款、第四款规定的情形。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lastRenderedPageBreak/>
        <w:t>第三十一条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有下列情形之一的，属于以欺诈、虚假宣传、引人误解或者商业贿赂等方式招徕业务的行为：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（一）与他人恶意串通或者虚构事实，诱骗委托人委托其办理商标事宜的；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（二）以承诺结果、夸大自身代理业务成功率等形式误导委托人的；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（三）伪造或者变造荣誉、资质资格，欺骗、误导公众的；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（四）以盗窃、贿赂、欺诈、胁迫或者其他不正当手段获取商标信息，或者披露、使用、允许他人使用以前述手段获取的商标信息，以谋取交易机会的；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（五）明示或者暗示可以通过非正常方式加速办理商标事宜，或者提高办理商标事宜成功率，误导委托人的；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（六）以给予财物或者其他手段贿赂单位或者个人，以谋取交易机会的；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（七）其他以不正当手段招徕商标代理业务的情形。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第三十二条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有下列情形之一的，属于商标法实施条例第八十八条第三项规定的在同一商标案件中接受有利益冲突的双方当事人委托的行为：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（一）在商标异议、撤销、宣告无效案件或者复审、诉讼程序中接受双方当事人委托的；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（二）曾代理委托人申请商标注册，又代理其他人对同一商标提出商标异议、撤销、宣告无效申请的；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（三）其他在同一案件中接受有利益冲突的双方当事人委托的情形。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第三十三条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商标代理机构通过网络从事商标代理业务，有下列行为之一的，《中华人民共和国反垄断法》《中华人民共和国反不正当竞争法》《中华人民共和国价格法》《中华人民共和国广告法》等法律法规有规定的，从其规定；没有规定的，由市场监督管理部门给予警告，可以处五万元以下罚款；情节严重的，处五万元以上十万元以下罚款：</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（一）利用其客户资源、平台数据以及其他经营者对其在商标代理服务上的依赖程度等因素，恶意排挤竞争对手的；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（二）通过编造用户评价、伪造业务量等方式进行虚假或者引人误解的商业宣传，欺骗、误导委托人的；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（三）通过电子侵入、擅自外挂插件等方式，影响商标网上服务系统、商标代理系统等正常运行的；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（四）通过网络展示具有重大不良影响商标的；</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lastRenderedPageBreak/>
        <w:t>（五）其他通过网络实施的违法商标代理行为。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第三十四条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市场监督管理部门依据商标法第六十八条规定对商标代理机构的违法行为进行查处后，依照有关规定将查处情况通报国家知识产权局。国家知识产权局收到通报，或者发现商标代理机构存在商标法第六十八条第一款行为，情节严重的，可以依法作出停止受理其办理商标代理业务六个月以上直至永久停止受理的决定，并予公告。</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因商标代理违法行为，两年内受到三次以上行政处罚的，属于前款规定情节严重的情形。</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被停止受理商标代理业务的，在停止受理业务期间，或者未按照本规定第八条第三款规定妥善处理未办结商标代理业务的，该商标代理机构负责人、直接责任人员以及负有管理责任的股东、合伙人不得在商标代理机构新任负责人、股东、合伙人。</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第三十五条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国家知识产权局作出的停止受理商标代理机构办理商标代理业务决定有期限的，期限届满并且已改正违法行为的，恢复受理该商标代理机构业务，并予公告。</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第三十六条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从事商标代理业务的商标代理机构，未依法办理备案、变更备案、延续备案或者注销备案，未妥善处理未办结</w:t>
      </w:r>
      <w:r w:rsidRPr="0085713D">
        <w:rPr>
          <w:rFonts w:ascii="仿宋_GB2312" w:eastAsia="仿宋_GB2312" w:hAnsi="等线" w:cs="宋体" w:hint="eastAsia"/>
          <w:color w:val="333333"/>
          <w:kern w:val="0"/>
          <w:sz w:val="32"/>
          <w:szCs w:val="32"/>
        </w:rPr>
        <w:lastRenderedPageBreak/>
        <w:t>的商标代理业务，或者违反本规定第十五条第四款规定，损害委托人利益或者扰乱商标代理市场秩序的，由国家知识产权局予以通报，并记入商标代理机构信用档案。</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商标代理机构有前款所述情形的，由市场监督管理部门责令限期改正；期满不改正的，给予警告，情节严重的，处十万元以下罚款</w:t>
      </w:r>
      <w:r w:rsidRPr="0085713D">
        <w:rPr>
          <w:rFonts w:ascii="黑体" w:eastAsia="黑体" w:hAnsi="黑体" w:cs="宋体" w:hint="eastAsia"/>
          <w:color w:val="333333"/>
          <w:kern w:val="0"/>
          <w:sz w:val="32"/>
          <w:szCs w:val="32"/>
        </w:rPr>
        <w:t>。</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第三十七条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知识产权管理部门应当健全内部监督制度，对从事商标注册和管理工作的人员执行法律法规和遵守纪律的情况加强监督检查。</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仿宋_GB2312" w:eastAsia="仿宋_GB2312" w:hAnsi="等线" w:cs="宋体" w:hint="eastAsia"/>
          <w:color w:val="333333"/>
          <w:kern w:val="0"/>
          <w:sz w:val="32"/>
          <w:szCs w:val="32"/>
        </w:rPr>
        <w:t>从事商标注册和管理工作的人员必须秉公执法，廉洁自律，忠于职守，文明服务，不得从事商标代理业务或者违反规定从事、参与营利性活动。从事商标注册和管理工作的人员离职后的从业限制，依照或者参照《中华人民共和国公务员法》等法律法规和国家有关规定执行。</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第三十八条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从事商标注册和管理工作的人员玩忽职守、滥用职权、徇私舞弊，违法办理商标注册事项和其他商标事宜，收受商标代理机构或者商标代理从业人员财物，牟取不正当利益的，应当依法进行处理；构成犯罪的，依法追究刑事责任。</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lastRenderedPageBreak/>
        <w:t>第三十九条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知识产权管理部门对违法违纪行为涉及的商标，应当依据商标法以及相关法律法规严格审查和监督管理，并及时处理。</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第四十条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法律法规对商标代理机构经营活动违法行为的处理另有规定的，从其规定。</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 xml:space="preserve">第四十一条 </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律师事务所和律师从事商标代理业务除遵守法律法规和本规定外，还应当遵守国家其他有关规定。</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第四十二条</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除本规定第二条规定的商标代理机构外，其他机构或者个人违反本规定从事商标代理业务或者与商标代理业务有关的其他活动，参照本规定处理。</w:t>
      </w:r>
    </w:p>
    <w:p w:rsidR="0085713D" w:rsidRPr="0085713D" w:rsidRDefault="0085713D" w:rsidP="0085713D">
      <w:pPr>
        <w:widowControl/>
        <w:shd w:val="clear" w:color="auto" w:fill="FFFFFF"/>
        <w:spacing w:line="560" w:lineRule="atLeast"/>
        <w:ind w:firstLine="640"/>
        <w:rPr>
          <w:rFonts w:ascii="等线" w:eastAsia="等线" w:hAnsi="等线" w:cs="宋体" w:hint="eastAsia"/>
          <w:color w:val="333333"/>
          <w:kern w:val="0"/>
          <w:szCs w:val="21"/>
        </w:rPr>
      </w:pPr>
      <w:r w:rsidRPr="0085713D">
        <w:rPr>
          <w:rFonts w:ascii="黑体" w:eastAsia="黑体" w:hAnsi="黑体" w:cs="宋体" w:hint="eastAsia"/>
          <w:color w:val="333333"/>
          <w:kern w:val="0"/>
          <w:sz w:val="32"/>
          <w:szCs w:val="32"/>
        </w:rPr>
        <w:t>第四十三条</w:t>
      </w:r>
      <w:r w:rsidRPr="0085713D">
        <w:rPr>
          <w:rFonts w:ascii="宋体" w:eastAsia="宋体" w:hAnsi="宋体" w:cs="宋体" w:hint="eastAsia"/>
          <w:color w:val="333333"/>
          <w:kern w:val="0"/>
          <w:sz w:val="32"/>
          <w:szCs w:val="32"/>
        </w:rPr>
        <w:t> </w:t>
      </w:r>
      <w:r w:rsidRPr="0085713D">
        <w:rPr>
          <w:rFonts w:ascii="仿宋_GB2312" w:eastAsia="仿宋_GB2312" w:hAnsi="等线" w:cs="宋体" w:hint="eastAsia"/>
          <w:color w:val="333333"/>
          <w:kern w:val="0"/>
          <w:sz w:val="32"/>
          <w:szCs w:val="32"/>
        </w:rPr>
        <w:t> </w:t>
      </w:r>
      <w:r w:rsidRPr="0085713D">
        <w:rPr>
          <w:rFonts w:ascii="仿宋_GB2312" w:eastAsia="仿宋_GB2312" w:hAnsi="等线" w:cs="宋体" w:hint="eastAsia"/>
          <w:color w:val="333333"/>
          <w:kern w:val="0"/>
          <w:sz w:val="32"/>
          <w:szCs w:val="32"/>
        </w:rPr>
        <w:t>本规定自</w:t>
      </w:r>
      <w:r w:rsidRPr="0085713D">
        <w:rPr>
          <w:rFonts w:ascii="Times New Roman" w:eastAsia="仿宋_GB2312" w:hAnsi="Times New Roman" w:cs="Times New Roman" w:hint="eastAsia"/>
          <w:color w:val="333333"/>
          <w:kern w:val="0"/>
          <w:sz w:val="32"/>
          <w:szCs w:val="32"/>
        </w:rPr>
        <w:t>2022</w:t>
      </w:r>
      <w:r w:rsidRPr="0085713D">
        <w:rPr>
          <w:rFonts w:ascii="仿宋_GB2312" w:eastAsia="仿宋_GB2312" w:hAnsi="等线" w:cs="宋体" w:hint="eastAsia"/>
          <w:color w:val="333333"/>
          <w:kern w:val="0"/>
          <w:sz w:val="32"/>
          <w:szCs w:val="32"/>
        </w:rPr>
        <w:t>年</w:t>
      </w:r>
      <w:r w:rsidRPr="0085713D">
        <w:rPr>
          <w:rFonts w:ascii="Times New Roman" w:eastAsia="仿宋_GB2312" w:hAnsi="Times New Roman" w:cs="Times New Roman" w:hint="eastAsia"/>
          <w:color w:val="333333"/>
          <w:kern w:val="0"/>
          <w:sz w:val="32"/>
          <w:szCs w:val="32"/>
        </w:rPr>
        <w:t>12</w:t>
      </w:r>
      <w:r w:rsidRPr="0085713D">
        <w:rPr>
          <w:rFonts w:ascii="仿宋_GB2312" w:eastAsia="仿宋_GB2312" w:hAnsi="等线" w:cs="宋体" w:hint="eastAsia"/>
          <w:color w:val="333333"/>
          <w:kern w:val="0"/>
          <w:sz w:val="32"/>
          <w:szCs w:val="32"/>
        </w:rPr>
        <w:t>月</w:t>
      </w:r>
      <w:r w:rsidRPr="0085713D">
        <w:rPr>
          <w:rFonts w:ascii="Times New Roman" w:eastAsia="仿宋_GB2312" w:hAnsi="Times New Roman" w:cs="Times New Roman" w:hint="eastAsia"/>
          <w:color w:val="333333"/>
          <w:kern w:val="0"/>
          <w:sz w:val="32"/>
          <w:szCs w:val="32"/>
        </w:rPr>
        <w:t>1</w:t>
      </w:r>
      <w:r w:rsidRPr="0085713D">
        <w:rPr>
          <w:rFonts w:ascii="仿宋_GB2312" w:eastAsia="仿宋_GB2312" w:hAnsi="等线" w:cs="宋体" w:hint="eastAsia"/>
          <w:color w:val="333333"/>
          <w:kern w:val="0"/>
          <w:sz w:val="32"/>
          <w:szCs w:val="32"/>
        </w:rPr>
        <w:t>日起施行。</w:t>
      </w:r>
    </w:p>
    <w:p w:rsidR="00891FFC" w:rsidRPr="0085713D" w:rsidRDefault="00891FFC" w:rsidP="0085713D"/>
    <w:sectPr w:rsidR="00891FFC" w:rsidRPr="0085713D">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1D" w:rsidRDefault="00FB6C1D">
      <w:r>
        <w:separator/>
      </w:r>
    </w:p>
  </w:endnote>
  <w:endnote w:type="continuationSeparator" w:id="0">
    <w:p w:rsidR="00FB6C1D" w:rsidRDefault="00FB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713D">
                            <w:rPr>
                              <w:rFonts w:ascii="宋体" w:eastAsia="宋体" w:hAnsi="宋体" w:cs="宋体"/>
                              <w:noProof/>
                              <w:sz w:val="28"/>
                              <w:szCs w:val="28"/>
                            </w:rPr>
                            <w:t>- 18 -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713D">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1D" w:rsidRDefault="00FB6C1D">
      <w:r>
        <w:separator/>
      </w:r>
    </w:p>
  </w:footnote>
  <w:footnote w:type="continuationSeparator" w:id="0">
    <w:p w:rsidR="00FB6C1D" w:rsidRDefault="00FB6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1046</Words>
  <Characters>5966</Characters>
  <Application>Microsoft Office Word</Application>
  <DocSecurity>0</DocSecurity>
  <Lines>49</Lines>
  <Paragraphs>13</Paragraphs>
  <ScaleCrop>false</ScaleCrop>
  <Company>Home</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30</cp:revision>
  <cp:lastPrinted>2021-10-26T03:30:00Z</cp:lastPrinted>
  <dcterms:created xsi:type="dcterms:W3CDTF">2021-09-09T02:41:00Z</dcterms:created>
  <dcterms:modified xsi:type="dcterms:W3CDTF">2022-11-01T07:02:00Z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