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56"/>
        <w:rPr>
          <w:rStyle w:val="20"/>
          <w:rFonts w:hAnsi="方正小标宋简体" w:cs="方正小标宋简体"/>
          <w:b w:val="0"/>
        </w:rPr>
      </w:pPr>
      <w:bookmarkStart w:id="0" w:name="_Toc527378180"/>
      <w:bookmarkStart w:id="1" w:name="_Toc2756797"/>
      <w:bookmarkStart w:id="2" w:name="_Toc529343115"/>
      <w:bookmarkStart w:id="3" w:name="_Toc2677266"/>
      <w:bookmarkStart w:id="4" w:name="_Toc20821"/>
      <w:bookmarkStart w:id="5" w:name="_Toc527306885"/>
      <w:bookmarkStart w:id="6" w:name="_Toc527562385"/>
      <w:r>
        <w:rPr>
          <w:rStyle w:val="20"/>
          <w:rFonts w:hint="eastAsia" w:hAnsi="方正小标宋简体" w:cs="方正小标宋简体"/>
          <w:b w:val="0"/>
        </w:rPr>
        <w:t>国家市场监督管理总局</w:t>
      </w:r>
      <w:r>
        <w:rPr>
          <w:rStyle w:val="20"/>
          <w:rFonts w:hint="eastAsia" w:hAnsi="方正小标宋简体" w:cs="方正小标宋简体"/>
          <w:b w:val="0"/>
        </w:rPr>
        <w:br w:type="textWrapping"/>
      </w:r>
      <w:r>
        <w:rPr>
          <w:rStyle w:val="20"/>
          <w:rFonts w:hint="eastAsia" w:hAnsi="方正小标宋简体" w:cs="方正小标宋简体"/>
          <w:b w:val="0"/>
        </w:rPr>
        <w:t>行政处罚决定书</w:t>
      </w:r>
      <w:bookmarkEnd w:id="0"/>
      <w:bookmarkEnd w:id="1"/>
      <w:bookmarkEnd w:id="2"/>
      <w:bookmarkEnd w:id="3"/>
      <w:bookmarkEnd w:id="4"/>
      <w:bookmarkEnd w:id="5"/>
      <w:bookmarkEnd w:id="6"/>
    </w:p>
    <w:p>
      <w:pPr>
        <w:jc w:val="center"/>
        <w:rPr>
          <w:rFonts w:ascii="Times New Roman" w:hAnsi="Times New Roman" w:eastAsia="仿宋_GB2312" w:cs="Times New Roman"/>
          <w:sz w:val="32"/>
          <w:szCs w:val="32"/>
        </w:rPr>
      </w:pPr>
      <w:bookmarkStart w:id="7" w:name="litigantInfo"/>
      <w:bookmarkEnd w:id="7"/>
      <w:r>
        <w:rPr>
          <w:rFonts w:ascii="Times New Roman" w:hAnsi="Times New Roman" w:eastAsia="仿宋_GB2312" w:cs="Times New Roman"/>
          <w:sz w:val="32"/>
          <w:szCs w:val="32"/>
        </w:rPr>
        <w:t>国市监处〔2020〕</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号</w:t>
      </w:r>
    </w:p>
    <w:p>
      <w:pPr>
        <w:adjustRightInd w:val="0"/>
        <w:snapToGrid w:val="0"/>
        <w:spacing w:before="120"/>
        <w:jc w:val="center"/>
        <w:rPr>
          <w:rFonts w:ascii="仿宋_GB2312" w:hAnsi="Calibri" w:eastAsia="仿宋_GB2312" w:cs="Times New Roman"/>
          <w:sz w:val="30"/>
          <w:szCs w:val="30"/>
        </w:rPr>
      </w:pPr>
    </w:p>
    <w:p>
      <w:pPr>
        <w:widowControl/>
        <w:adjustRightInd w:val="0"/>
        <w:snapToGrid w:val="0"/>
        <w:spacing w:line="560" w:lineRule="exact"/>
        <w:ind w:firstLine="640" w:firstLineChars="200"/>
        <w:rPr>
          <w:rFonts w:ascii="黑体" w:hAnsi="宋体" w:eastAsia="黑体" w:cs="Arial"/>
          <w:sz w:val="32"/>
          <w:szCs w:val="32"/>
        </w:rPr>
      </w:pPr>
      <w:r>
        <w:rPr>
          <w:rFonts w:hint="eastAsia" w:ascii="黑体" w:hAnsi="宋体" w:eastAsia="黑体" w:cs="Arial"/>
          <w:sz w:val="32"/>
          <w:szCs w:val="32"/>
        </w:rPr>
        <w:t>一、当事人基本情况</w:t>
      </w:r>
    </w:p>
    <w:p>
      <w:pPr>
        <w:widowControl/>
        <w:adjustRightInd w:val="0"/>
        <w:spacing w:line="560" w:lineRule="exac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当事人一：山东康惠医药有限公司</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统一社会信用代</w:t>
      </w:r>
      <w:r>
        <w:rPr>
          <w:rFonts w:hint="eastAsia" w:ascii="Times New Roman" w:hAnsi="Times New Roman" w:eastAsia="仿宋_GB2312" w:cs="Times New Roman"/>
          <w:sz w:val="32"/>
          <w:szCs w:val="32"/>
        </w:rPr>
        <w:t>码：913707052671601698</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经营范围</w:t>
      </w:r>
      <w:r>
        <w:rPr>
          <w:rFonts w:hint="eastAsia" w:ascii="Times New Roman" w:hAnsi="Times New Roman" w:eastAsia="仿宋_GB2312" w:cs="Times New Roman"/>
          <w:sz w:val="32"/>
          <w:szCs w:val="32"/>
        </w:rPr>
        <w:t>：批发中药材、中药饮片、中成药、化学原料药、化学药制剂、抗生素、生化药品、生物制品（除疫苗）、麻醉药品、精神</w:t>
      </w:r>
      <w:r>
        <w:rPr>
          <w:rFonts w:ascii="Times New Roman" w:hAnsi="Times New Roman" w:eastAsia="仿宋_GB2312" w:cs="Times New Roman"/>
          <w:sz w:val="32"/>
          <w:szCs w:val="32"/>
        </w:rPr>
        <w:t>药品、蛋白同化制剂、肽类激素等。</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法定代表人：武洲</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住所：山东省潍坊市奎文区庄检路517号</w:t>
      </w:r>
    </w:p>
    <w:p>
      <w:pPr>
        <w:widowControl/>
        <w:adjustRightInd w:val="0"/>
        <w:spacing w:line="560" w:lineRule="exact"/>
        <w:rPr>
          <w:rFonts w:ascii="Times New Roman" w:hAnsi="Times New Roman" w:eastAsia="楷体_GB2312" w:cs="Times New Roman"/>
          <w:b/>
          <w:bCs/>
          <w:sz w:val="32"/>
          <w:szCs w:val="32"/>
        </w:rPr>
      </w:pPr>
      <w:r>
        <w:rPr>
          <w:rFonts w:ascii="Times New Roman" w:hAnsi="Times New Roman" w:eastAsia="仿宋_GB2312" w:cs="Times New Roman"/>
          <w:sz w:val="32"/>
          <w:szCs w:val="32"/>
        </w:rPr>
        <w:t xml:space="preserve">    </w:t>
      </w:r>
      <w:r>
        <w:rPr>
          <w:rFonts w:ascii="Times New Roman" w:hAnsi="Times New Roman" w:eastAsia="楷体_GB2312" w:cs="Times New Roman"/>
          <w:b/>
          <w:bCs/>
          <w:sz w:val="32"/>
          <w:szCs w:val="32"/>
        </w:rPr>
        <w:t>当事人二：潍坊普云惠医药有限公司</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统一社会信用代码：913707057797429473</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经营范围：销售中成药、化学原料药、化学药制剂、抗生素（冷藏冷冻药品除外）、饲料添加剂、食品添加剂、化工产品（不含危险化学品及易制毒化学品）。</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法定代表人：卢国华</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住所：山东省潍坊市坊子区凤凰街168号1号楼</w:t>
      </w:r>
    </w:p>
    <w:p>
      <w:pPr>
        <w:widowControl/>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当事人三：潍坊太阳神医药有限公司</w:t>
      </w:r>
      <w:bookmarkStart w:id="8" w:name="_GoBack"/>
      <w:bookmarkEnd w:id="8"/>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统一社会信用代码：91370784779742939M</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经营范围：批发中药饮片、中成药、化学原料药、化学药制剂、抗生素、生化药品、生物制剂（除疫苗）、精神药品（限二类）等。</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法定代表人：管天城</w:t>
      </w:r>
    </w:p>
    <w:p>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住所：山东省安丘市商场路中段158号</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二、案件来源及调查经过</w:t>
      </w:r>
    </w:p>
    <w:p>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根据举报，2019年5月23日起，本机关</w:t>
      </w:r>
      <w:r>
        <w:rPr>
          <w:rFonts w:hint="eastAsia" w:ascii="Times New Roman" w:hAnsi="Times New Roman" w:eastAsia="仿宋_GB2312" w:cs="Times New Roman"/>
          <w:sz w:val="32"/>
          <w:szCs w:val="32"/>
        </w:rPr>
        <w:t>依据《中华人民共和国反垄断法》（以下简称《反垄断法》）</w:t>
      </w:r>
      <w:r>
        <w:rPr>
          <w:rFonts w:ascii="Times New Roman" w:hAnsi="Times New Roman" w:eastAsia="仿宋_GB2312" w:cs="Times New Roman"/>
          <w:sz w:val="32"/>
          <w:szCs w:val="32"/>
        </w:rPr>
        <w:t>对山东康惠医药有限公司（以下简称康惠公司）、潍坊普云惠医药有限公司（以下简称普云惠公司）、潍坊太阳神医药有限公司（以下简称太阳神公司）</w:t>
      </w:r>
      <w:r>
        <w:rPr>
          <w:rFonts w:hint="eastAsia" w:ascii="Times New Roman" w:hAnsi="Times New Roman" w:eastAsia="仿宋_GB2312" w:cs="Times New Roman"/>
          <w:sz w:val="32"/>
          <w:szCs w:val="32"/>
        </w:rPr>
        <w:t>涉嫌</w:t>
      </w:r>
      <w:r>
        <w:rPr>
          <w:rFonts w:ascii="Times New Roman" w:hAnsi="Times New Roman" w:eastAsia="仿宋_GB2312" w:cs="Times New Roman"/>
          <w:sz w:val="32"/>
          <w:szCs w:val="32"/>
        </w:rPr>
        <w:t>实施垄断行为开展了调查。</w:t>
      </w:r>
      <w:r>
        <w:rPr>
          <w:rFonts w:ascii="Times New Roman" w:hAnsi="Times New Roman" w:eastAsia="仿宋_GB2312" w:cs="Times New Roman"/>
          <w:color w:val="000000"/>
          <w:sz w:val="32"/>
          <w:szCs w:val="32"/>
        </w:rPr>
        <w:t>期间，本机关进行了现场检查、询问调查，提取了相关书证、电子数据等材料</w:t>
      </w:r>
      <w:r>
        <w:rPr>
          <w:rFonts w:hint="eastAsia" w:ascii="Times New Roman" w:hAnsi="Times New Roman" w:eastAsia="仿宋_GB2312" w:cs="Times New Roman"/>
          <w:color w:val="000000"/>
          <w:sz w:val="32"/>
          <w:szCs w:val="32"/>
        </w:rPr>
        <w:t>。本机关开展反垄断调查时，康惠公司、普云惠公司拒绝提供有关材料、信息，隐匿、销毁、转移证据，阻碍调查工作开展，本机关已依法作出行政处罚。本机关</w:t>
      </w:r>
      <w:r>
        <w:rPr>
          <w:rFonts w:ascii="Times New Roman" w:hAnsi="Times New Roman" w:eastAsia="仿宋_GB2312" w:cs="Times New Roman"/>
          <w:color w:val="000000"/>
          <w:sz w:val="32"/>
          <w:szCs w:val="32"/>
        </w:rPr>
        <w:t>对本案涉及的主要问题召开专家会进行了研究论证，并多次与康惠公司、普云惠公司、太阳神公司沟通，听取陈述意见。</w:t>
      </w:r>
    </w:p>
    <w:p>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2019年12月19日</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本机关依法向康惠公司、普云惠公司、太阳神公司送达了</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行政处罚告知书</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，告知</w:t>
      </w:r>
      <w:r>
        <w:rPr>
          <w:rFonts w:hint="eastAsia" w:ascii="Times New Roman" w:hAnsi="Times New Roman" w:eastAsia="仿宋_GB2312" w:cs="Times New Roman"/>
          <w:color w:val="000000"/>
          <w:sz w:val="32"/>
          <w:szCs w:val="32"/>
        </w:rPr>
        <w:t>三家公司</w:t>
      </w:r>
      <w:r>
        <w:rPr>
          <w:rFonts w:ascii="Times New Roman" w:hAnsi="Times New Roman" w:eastAsia="仿宋_GB2312" w:cs="Times New Roman"/>
          <w:color w:val="000000"/>
          <w:sz w:val="32"/>
          <w:szCs w:val="32"/>
        </w:rPr>
        <w:t>涉嫌</w:t>
      </w:r>
      <w:r>
        <w:rPr>
          <w:rFonts w:hint="eastAsia" w:ascii="Times New Roman" w:hAnsi="Times New Roman" w:eastAsia="仿宋_GB2312" w:cs="Times New Roman"/>
          <w:color w:val="000000"/>
          <w:sz w:val="32"/>
          <w:szCs w:val="32"/>
        </w:rPr>
        <w:t>违反《反垄断法》</w:t>
      </w:r>
      <w:r>
        <w:rPr>
          <w:rFonts w:ascii="Times New Roman" w:hAnsi="Times New Roman" w:eastAsia="仿宋_GB2312" w:cs="Times New Roman"/>
          <w:color w:val="000000"/>
          <w:sz w:val="32"/>
          <w:szCs w:val="32"/>
        </w:rPr>
        <w:t>的事实、拟作出的行政处罚决定、理由</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依据，</w:t>
      </w:r>
      <w:r>
        <w:rPr>
          <w:rFonts w:hint="eastAsia" w:ascii="Times New Roman" w:hAnsi="Times New Roman" w:eastAsia="仿宋_GB2312" w:cs="Times New Roman"/>
          <w:color w:val="000000"/>
          <w:sz w:val="32"/>
          <w:szCs w:val="32"/>
        </w:rPr>
        <w:t>以及三家公司依法享</w:t>
      </w:r>
      <w:r>
        <w:rPr>
          <w:rFonts w:ascii="Times New Roman" w:hAnsi="Times New Roman" w:eastAsia="仿宋_GB2312" w:cs="Times New Roman"/>
          <w:sz w:val="32"/>
          <w:szCs w:val="32"/>
        </w:rPr>
        <w:t>有陈述、申辩和要求举行听证的权利</w:t>
      </w:r>
      <w:r>
        <w:rPr>
          <w:rFonts w:hint="eastAsia" w:ascii="Times New Roman" w:hAnsi="Times New Roman" w:eastAsia="仿宋_GB2312" w:cs="Times New Roman"/>
          <w:sz w:val="32"/>
          <w:szCs w:val="32"/>
        </w:rPr>
        <w:t>。</w:t>
      </w:r>
      <w:r>
        <w:rPr>
          <w:rFonts w:ascii="Times New Roman" w:hAnsi="Times New Roman" w:eastAsia="仿宋_GB2312" w:cs="Times New Roman"/>
          <w:color w:val="000000"/>
          <w:sz w:val="32"/>
          <w:szCs w:val="32"/>
        </w:rPr>
        <w:t>康惠公司、普云惠公司、太阳神公司向本机关</w:t>
      </w:r>
      <w:r>
        <w:rPr>
          <w:rFonts w:hint="eastAsia" w:ascii="Times New Roman" w:hAnsi="Times New Roman" w:eastAsia="仿宋_GB2312" w:cs="Times New Roman"/>
          <w:color w:val="000000"/>
          <w:sz w:val="32"/>
          <w:szCs w:val="32"/>
        </w:rPr>
        <w:t>提出了</w:t>
      </w:r>
      <w:r>
        <w:rPr>
          <w:rFonts w:ascii="Times New Roman" w:hAnsi="Times New Roman" w:eastAsia="仿宋_GB2312" w:cs="Times New Roman"/>
          <w:color w:val="000000"/>
          <w:sz w:val="32"/>
          <w:szCs w:val="32"/>
        </w:rPr>
        <w:t>陈述、申辩意见，康惠公司同时提出</w:t>
      </w:r>
      <w:r>
        <w:rPr>
          <w:rFonts w:hint="eastAsia" w:ascii="Times New Roman" w:hAnsi="Times New Roman" w:eastAsia="仿宋_GB2312" w:cs="Times New Roman"/>
          <w:color w:val="000000"/>
          <w:sz w:val="32"/>
          <w:szCs w:val="32"/>
        </w:rPr>
        <w:t>了</w:t>
      </w:r>
      <w:r>
        <w:rPr>
          <w:rFonts w:ascii="Times New Roman" w:hAnsi="Times New Roman" w:eastAsia="仿宋_GB2312" w:cs="Times New Roman"/>
          <w:color w:val="000000"/>
          <w:sz w:val="32"/>
          <w:szCs w:val="32"/>
        </w:rPr>
        <w:t>听证申请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2020年1月8日，本机关依法举行听证会。听证会上康惠公司进行了申辩和质证，普云惠公司和太阳神公司作为第三人提出了陈述意见。</w:t>
      </w:r>
    </w:p>
    <w:p>
      <w:pPr>
        <w:overflowPunct w:val="0"/>
        <w:spacing w:line="560" w:lineRule="exact"/>
        <w:ind w:firstLine="640" w:firstLineChars="200"/>
        <w:rPr>
          <w:rFonts w:ascii="Times New Roman" w:hAnsi="Times New Roman" w:eastAsia="仿宋_GB2312" w:cs="Times New Roman"/>
          <w:color w:val="000000"/>
          <w:sz w:val="32"/>
          <w:szCs w:val="32"/>
        </w:rPr>
      </w:pPr>
    </w:p>
    <w:p>
      <w:pPr>
        <w:widowControl/>
        <w:numPr>
          <w:ilvl w:val="0"/>
          <w:numId w:val="1"/>
        </w:numPr>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违法事实及证据</w:t>
      </w:r>
    </w:p>
    <w:p>
      <w:pPr>
        <w:overflowPunct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经查，</w:t>
      </w:r>
      <w:r>
        <w:rPr>
          <w:rFonts w:ascii="Times New Roman" w:hAnsi="Times New Roman" w:eastAsia="仿宋_GB2312" w:cs="Times New Roman"/>
          <w:color w:val="000000"/>
          <w:sz w:val="32"/>
          <w:szCs w:val="32"/>
        </w:rPr>
        <w:t>康惠公司、普云惠公司</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太阳神公司</w:t>
      </w:r>
      <w:r>
        <w:rPr>
          <w:rFonts w:hint="eastAsia" w:ascii="Times New Roman" w:hAnsi="Times New Roman" w:eastAsia="仿宋_GB2312" w:cs="Times New Roman"/>
          <w:color w:val="000000"/>
          <w:sz w:val="32"/>
          <w:szCs w:val="32"/>
        </w:rPr>
        <w:t>于2015年8月至2017年12月</w:t>
      </w:r>
      <w:r>
        <w:rPr>
          <w:rFonts w:ascii="Times New Roman" w:hAnsi="Times New Roman" w:eastAsia="仿宋_GB2312" w:cs="Times New Roman"/>
          <w:color w:val="000000"/>
          <w:sz w:val="32"/>
          <w:szCs w:val="32"/>
        </w:rPr>
        <w:t>滥用在中国注射用葡萄糖酸钙原料药销售市场</w:t>
      </w:r>
      <w:r>
        <w:rPr>
          <w:rFonts w:hint="eastAsia" w:ascii="Times New Roman" w:hAnsi="Times New Roman" w:eastAsia="仿宋_GB2312" w:cs="Times New Roman"/>
          <w:color w:val="000000"/>
          <w:sz w:val="32"/>
          <w:szCs w:val="32"/>
        </w:rPr>
        <w:t>上</w:t>
      </w:r>
      <w:r>
        <w:rPr>
          <w:rFonts w:ascii="Times New Roman" w:hAnsi="Times New Roman" w:eastAsia="仿宋_GB2312" w:cs="Times New Roman"/>
          <w:color w:val="000000"/>
          <w:sz w:val="32"/>
          <w:szCs w:val="32"/>
        </w:rPr>
        <w:t>的支配地位</w:t>
      </w:r>
      <w:r>
        <w:rPr>
          <w:rFonts w:hint="eastAsia" w:ascii="Times New Roman" w:hAnsi="Times New Roman" w:eastAsia="仿宋_GB2312" w:cs="Times New Roman"/>
          <w:color w:val="000000"/>
          <w:sz w:val="32"/>
          <w:szCs w:val="32"/>
        </w:rPr>
        <w:t>，实施了以不公平的高价销售商品、附加不合理交易条件的行为，排除、限制了市场竞争，损害了消费者利益。</w:t>
      </w:r>
    </w:p>
    <w:p>
      <w:pPr>
        <w:overflowPunct w:val="0"/>
        <w:spacing w:line="560" w:lineRule="exact"/>
        <w:ind w:firstLine="643"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b/>
          <w:bCs/>
          <w:sz w:val="32"/>
          <w:szCs w:val="32"/>
        </w:rPr>
        <w:t>（一）康惠公司、普云惠公司、太阳神公司</w:t>
      </w:r>
      <w:r>
        <w:rPr>
          <w:rFonts w:ascii="Times New Roman" w:hAnsi="Times New Roman" w:eastAsia="楷体_GB2312" w:cs="Times New Roman"/>
          <w:b/>
          <w:bCs/>
          <w:sz w:val="32"/>
          <w:szCs w:val="32"/>
        </w:rPr>
        <w:t>关系</w:t>
      </w:r>
    </w:p>
    <w:p>
      <w:pPr>
        <w:overflowPunct w:val="0"/>
        <w:spacing w:line="560" w:lineRule="exact"/>
        <w:ind w:firstLine="640" w:firstLineChars="200"/>
        <w:rPr>
          <w:rFonts w:ascii="Times New Roman" w:hAnsi="Times New Roman" w:eastAsia="楷体_GB2312" w:cs="Times New Roman"/>
          <w:b/>
          <w:bCs/>
          <w:sz w:val="32"/>
          <w:szCs w:val="32"/>
        </w:rPr>
      </w:pPr>
      <w:r>
        <w:rPr>
          <w:rFonts w:hint="eastAsia" w:ascii="Times New Roman" w:hAnsi="Times New Roman" w:eastAsia="仿宋_GB2312" w:cs="Times New Roman"/>
          <w:color w:val="000000"/>
          <w:sz w:val="32"/>
          <w:szCs w:val="32"/>
        </w:rPr>
        <w:t>根据调查掌握的证据，康惠公司与普云惠公司、太阳神公司分工协作、密切配合，共同实施了垄断行为。</w:t>
      </w:r>
    </w:p>
    <w:p>
      <w:pPr>
        <w:widowControl/>
        <w:adjustRightIn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 xml:space="preserve"> </w:t>
      </w:r>
      <w:r>
        <w:rPr>
          <w:rFonts w:ascii="Times New Roman" w:hAnsi="Times New Roman" w:eastAsia="仿宋_GB2312" w:cs="Times New Roman"/>
          <w:b/>
          <w:bCs/>
          <w:sz w:val="32"/>
          <w:szCs w:val="32"/>
        </w:rPr>
        <w:t>康惠公司与普云惠公司关系。</w:t>
      </w:r>
      <w:r>
        <w:rPr>
          <w:rFonts w:ascii="Times New Roman" w:hAnsi="Times New Roman" w:eastAsia="仿宋_GB2312" w:cs="Times New Roman"/>
          <w:sz w:val="32"/>
          <w:szCs w:val="32"/>
        </w:rPr>
        <w:t>康惠公司和普云惠公司均登记注册为独立法人</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但</w:t>
      </w:r>
      <w:r>
        <w:rPr>
          <w:rFonts w:ascii="Times New Roman" w:hAnsi="Times New Roman" w:eastAsia="仿宋_GB2312" w:cs="Times New Roman"/>
          <w:color w:val="000000"/>
          <w:sz w:val="32"/>
          <w:szCs w:val="32"/>
        </w:rPr>
        <w:t>从人员任职、业务关联、财务联系等方面分析，普云惠公司实际受康惠公司控制。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2015年6月，康惠公司副总经理卢国华和第二业务部经理张坤将潍坊恒昌医药有限公司收购，并将公司名称</w:t>
      </w:r>
      <w:r>
        <w:rPr>
          <w:rFonts w:hint="eastAsia" w:ascii="Times New Roman" w:hAnsi="Times New Roman" w:eastAsia="仿宋_GB2312" w:cs="Times New Roman"/>
          <w:sz w:val="32"/>
          <w:szCs w:val="32"/>
        </w:rPr>
        <w:t>变更</w:t>
      </w:r>
      <w:r>
        <w:rPr>
          <w:rFonts w:ascii="Times New Roman" w:hAnsi="Times New Roman" w:eastAsia="仿宋_GB2312" w:cs="Times New Roman"/>
          <w:sz w:val="32"/>
          <w:szCs w:val="32"/>
        </w:rPr>
        <w:t>为潍坊普云惠医药有限公司，卢国华为法定代表人和总经理，张坤为业务部负责人。普云惠公司成立前后，康惠公司多次就普云惠公司证照变更、GSP认证、人员安排、经营业务等进行讨论</w:t>
      </w:r>
      <w:r>
        <w:rPr>
          <w:rFonts w:hint="eastAsia" w:ascii="Times New Roman" w:hAnsi="Times New Roman" w:eastAsia="仿宋_GB2312" w:cs="Times New Roman"/>
          <w:sz w:val="32"/>
          <w:szCs w:val="32"/>
        </w:rPr>
        <w:t>和决策</w:t>
      </w:r>
      <w:r>
        <w:rPr>
          <w:rFonts w:ascii="Times New Roman" w:hAnsi="Times New Roman" w:eastAsia="仿宋_GB2312" w:cs="Times New Roman"/>
          <w:sz w:val="32"/>
          <w:szCs w:val="32"/>
        </w:rPr>
        <w:t>。普云惠公司成立后一直受康惠公司控制，证据主要有三个方面：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一是普云惠公司</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员工同时在康惠公司任职。根据调查掌握的证据，康惠公司2015-2019年</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花名册中，普云惠公司</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总经理、副总经理，以及办公室、财务部、业务部、质量部、仓储部、信息部等部门负责人在内的多数人员均同时为康惠公司员工。2018年4月，康惠公司17名业务员同时将人事关系转入普云惠公司，其中大部分人员仍在康惠公司任职。此外，普云惠公司总经理等人员在康惠公司有常设办公室。</w:t>
      </w:r>
    </w:p>
    <w:p>
      <w:pPr>
        <w:overflowPunct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二是普云惠公司的业务受康惠公司控制。普云惠公司原料药和制剂产品的经营决策由康惠公司作出，普云惠公司员工参加康惠公司组织的会议，并在会议上听从康惠公司对普云惠公司的经营安排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普云惠公司根据康惠公司的指</w:t>
      </w:r>
      <w:r>
        <w:rPr>
          <w:rFonts w:hint="eastAsia" w:ascii="Times New Roman" w:hAnsi="Times New Roman" w:eastAsia="仿宋_GB2312" w:cs="Times New Roman"/>
          <w:sz w:val="32"/>
          <w:szCs w:val="32"/>
        </w:rPr>
        <w:t>令</w:t>
      </w:r>
      <w:r>
        <w:rPr>
          <w:rFonts w:ascii="Times New Roman" w:hAnsi="Times New Roman" w:eastAsia="仿宋_GB2312" w:cs="Times New Roman"/>
          <w:sz w:val="32"/>
          <w:szCs w:val="32"/>
        </w:rPr>
        <w:t>，与上下游企业进行原料药和制剂产品的交易；普云惠公司与客户签订的销售合同、销售单据、发票，以及普云惠公</w:t>
      </w:r>
      <w:r>
        <w:rPr>
          <w:rFonts w:ascii="Times New Roman" w:hAnsi="Times New Roman" w:eastAsia="仿宋_GB2312" w:cs="Times New Roman"/>
          <w:sz w:val="32"/>
          <w:szCs w:val="32"/>
          <w:highlight w:val="none"/>
        </w:rPr>
        <w:t>司</w:t>
      </w:r>
      <w:r>
        <w:rPr>
          <w:rFonts w:hint="eastAsia" w:ascii="Times New Roman" w:hAnsi="Times New Roman" w:eastAsia="仿宋_GB2312" w:cs="Times New Roman"/>
          <w:sz w:val="32"/>
          <w:szCs w:val="32"/>
          <w:highlight w:val="none"/>
          <w:lang w:eastAsia="zh-CN"/>
        </w:rPr>
        <w:t>会计账簿</w:t>
      </w:r>
      <w:r>
        <w:rPr>
          <w:rFonts w:ascii="Times New Roman" w:hAnsi="Times New Roman" w:eastAsia="仿宋_GB2312" w:cs="Times New Roman"/>
          <w:sz w:val="32"/>
          <w:szCs w:val="32"/>
          <w:highlight w:val="none"/>
        </w:rPr>
        <w:t>等材料交康惠公司保存。</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三是普云惠公司与康惠公司财务联系紧密。普云惠公司的银行账户受康惠公司控制，普云惠公司按照康惠公司《工作联系单》的指</w:t>
      </w:r>
      <w:r>
        <w:rPr>
          <w:rFonts w:hint="eastAsia" w:ascii="Times New Roman" w:hAnsi="Times New Roman" w:eastAsia="仿宋_GB2312" w:cs="Times New Roman"/>
          <w:sz w:val="32"/>
          <w:szCs w:val="32"/>
        </w:rPr>
        <w:t>令</w:t>
      </w:r>
      <w:r>
        <w:rPr>
          <w:rFonts w:ascii="Times New Roman" w:hAnsi="Times New Roman" w:eastAsia="仿宋_GB2312" w:cs="Times New Roman"/>
          <w:sz w:val="32"/>
          <w:szCs w:val="32"/>
        </w:rPr>
        <w:t>向客户支付款项</w:t>
      </w:r>
      <w:r>
        <w:rPr>
          <w:rFonts w:hint="eastAsia" w:ascii="Times New Roman" w:hAnsi="Times New Roman" w:eastAsia="仿宋_GB2312" w:cs="Times New Roman"/>
          <w:sz w:val="32"/>
          <w:szCs w:val="32"/>
        </w:rPr>
        <w:t>，普云惠公司将业务开票数据与康惠公司核对；</w:t>
      </w:r>
      <w:r>
        <w:rPr>
          <w:rFonts w:ascii="Times New Roman" w:hAnsi="Times New Roman" w:eastAsia="仿宋_GB2312" w:cs="Times New Roman"/>
          <w:sz w:val="32"/>
          <w:szCs w:val="32"/>
        </w:rPr>
        <w:t>康惠公司向普云惠公司销售人员发放业务提成。</w:t>
      </w:r>
    </w:p>
    <w:p>
      <w:pPr>
        <w:widowControl/>
        <w:adjustRightIn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 xml:space="preserve"> </w:t>
      </w:r>
      <w:r>
        <w:rPr>
          <w:rFonts w:ascii="Times New Roman" w:hAnsi="Times New Roman" w:eastAsia="仿宋_GB2312" w:cs="Times New Roman"/>
          <w:b/>
          <w:bCs/>
          <w:sz w:val="32"/>
          <w:szCs w:val="32"/>
        </w:rPr>
        <w:t>康惠公司与太阳神公司关系。</w:t>
      </w:r>
      <w:r>
        <w:rPr>
          <w:rFonts w:ascii="Times New Roman" w:hAnsi="Times New Roman" w:eastAsia="仿宋_GB2312" w:cs="Times New Roman"/>
          <w:sz w:val="32"/>
          <w:szCs w:val="32"/>
        </w:rPr>
        <w:t>太阳神公司登记注册为独立法人</w:t>
      </w:r>
      <w:r>
        <w:rPr>
          <w:rFonts w:hint="eastAsia" w:ascii="Times New Roman" w:hAnsi="Times New Roman" w:eastAsia="仿宋_GB2312" w:cs="Times New Roman"/>
          <w:sz w:val="32"/>
          <w:szCs w:val="32"/>
        </w:rPr>
        <w:t>，但其</w:t>
      </w:r>
      <w:r>
        <w:rPr>
          <w:rFonts w:ascii="Times New Roman" w:hAnsi="Times New Roman" w:eastAsia="仿宋_GB2312" w:cs="Times New Roman"/>
          <w:sz w:val="32"/>
          <w:szCs w:val="32"/>
        </w:rPr>
        <w:t>注射用葡萄糖酸钙原料药</w:t>
      </w:r>
      <w:r>
        <w:rPr>
          <w:rFonts w:hint="eastAsia" w:ascii="Times New Roman" w:hAnsi="Times New Roman" w:eastAsia="仿宋_GB2312" w:cs="Times New Roman"/>
          <w:sz w:val="32"/>
          <w:szCs w:val="32"/>
        </w:rPr>
        <w:t>等产品</w:t>
      </w:r>
      <w:r>
        <w:rPr>
          <w:rFonts w:ascii="Times New Roman" w:hAnsi="Times New Roman" w:eastAsia="仿宋_GB2312" w:cs="Times New Roman"/>
          <w:sz w:val="32"/>
          <w:szCs w:val="32"/>
        </w:rPr>
        <w:t>经营</w:t>
      </w:r>
      <w:r>
        <w:rPr>
          <w:rFonts w:ascii="Times New Roman" w:hAnsi="Times New Roman" w:eastAsia="仿宋_GB2312" w:cs="Times New Roman"/>
          <w:color w:val="000000"/>
          <w:sz w:val="32"/>
          <w:szCs w:val="32"/>
        </w:rPr>
        <w:t>实际</w:t>
      </w:r>
      <w:r>
        <w:rPr>
          <w:rFonts w:ascii="Times New Roman" w:hAnsi="Times New Roman" w:eastAsia="仿宋_GB2312" w:cs="Times New Roman"/>
          <w:sz w:val="32"/>
          <w:szCs w:val="32"/>
        </w:rPr>
        <w:t>受康惠公司控制。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2015年，康惠公司法定代表人武洲与太阳神公司主要负责人会面，达成口头协议</w:t>
      </w:r>
      <w:r>
        <w:rPr>
          <w:rFonts w:hint="eastAsia" w:ascii="Times New Roman" w:hAnsi="Times New Roman" w:eastAsia="仿宋_GB2312" w:cs="Times New Roman"/>
          <w:sz w:val="32"/>
          <w:szCs w:val="32"/>
        </w:rPr>
        <w:t>，约定</w:t>
      </w:r>
      <w:r>
        <w:rPr>
          <w:rFonts w:ascii="Times New Roman" w:hAnsi="Times New Roman" w:eastAsia="仿宋_GB2312" w:cs="Times New Roman"/>
          <w:sz w:val="32"/>
          <w:szCs w:val="32"/>
        </w:rPr>
        <w:t>康惠公司通过太阳神公司进行原料药和制剂</w:t>
      </w:r>
      <w:r>
        <w:rPr>
          <w:rFonts w:hint="eastAsia" w:ascii="Times New Roman" w:hAnsi="Times New Roman" w:eastAsia="仿宋_GB2312" w:cs="Times New Roman"/>
          <w:sz w:val="32"/>
          <w:szCs w:val="32"/>
        </w:rPr>
        <w:t>产品</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交易。</w:t>
      </w:r>
      <w:r>
        <w:rPr>
          <w:rFonts w:hint="eastAsia" w:ascii="Times New Roman" w:hAnsi="Times New Roman" w:eastAsia="仿宋_GB2312" w:cs="Times New Roman"/>
          <w:sz w:val="32"/>
          <w:szCs w:val="32"/>
        </w:rPr>
        <w:t>根据调查掌握的证据，太阳神公司经营注射用葡萄糖酸钙原料药等产品实际受康惠公司控制。</w:t>
      </w:r>
    </w:p>
    <w:p>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一是太阳神公司的业务由康惠公司决定。太阳神公司按照康惠公司的指</w:t>
      </w:r>
      <w:r>
        <w:rPr>
          <w:rFonts w:hint="eastAsia" w:ascii="Times New Roman" w:hAnsi="Times New Roman" w:eastAsia="仿宋_GB2312" w:cs="Times New Roman"/>
          <w:bCs/>
          <w:sz w:val="32"/>
          <w:szCs w:val="32"/>
        </w:rPr>
        <w:t>令</w:t>
      </w:r>
      <w:r>
        <w:rPr>
          <w:rFonts w:ascii="Times New Roman" w:hAnsi="Times New Roman" w:eastAsia="仿宋_GB2312" w:cs="Times New Roman"/>
          <w:bCs/>
          <w:sz w:val="32"/>
          <w:szCs w:val="32"/>
        </w:rPr>
        <w:t>，以太阳神公司的名义与客户签订</w:t>
      </w:r>
      <w:r>
        <w:rPr>
          <w:rFonts w:hint="eastAsia" w:ascii="Times New Roman" w:hAnsi="Times New Roman" w:eastAsia="仿宋_GB2312" w:cs="Times New Roman"/>
          <w:bCs/>
          <w:sz w:val="32"/>
          <w:szCs w:val="32"/>
        </w:rPr>
        <w:t>注射用葡萄糖酸钙原料药等产品</w:t>
      </w:r>
      <w:r>
        <w:rPr>
          <w:rFonts w:ascii="Times New Roman" w:hAnsi="Times New Roman" w:eastAsia="仿宋_GB2312" w:cs="Times New Roman"/>
          <w:bCs/>
          <w:sz w:val="32"/>
          <w:szCs w:val="32"/>
        </w:rPr>
        <w:t>买卖合同，交易对象</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交易价格</w:t>
      </w:r>
      <w:r>
        <w:rPr>
          <w:rFonts w:hint="eastAsia" w:ascii="Times New Roman" w:hAnsi="Times New Roman" w:eastAsia="仿宋_GB2312" w:cs="Times New Roman"/>
          <w:bCs/>
          <w:sz w:val="32"/>
          <w:szCs w:val="32"/>
        </w:rPr>
        <w:t>、交易数量等均由</w:t>
      </w:r>
      <w:r>
        <w:rPr>
          <w:rFonts w:ascii="Times New Roman" w:hAnsi="Times New Roman" w:eastAsia="仿宋_GB2312" w:cs="Times New Roman"/>
          <w:bCs/>
          <w:sz w:val="32"/>
          <w:szCs w:val="32"/>
        </w:rPr>
        <w:t>康惠公司</w:t>
      </w:r>
      <w:r>
        <w:rPr>
          <w:rFonts w:hint="eastAsia" w:ascii="Times New Roman" w:hAnsi="Times New Roman" w:eastAsia="仿宋_GB2312" w:cs="Times New Roman"/>
          <w:bCs/>
          <w:sz w:val="32"/>
          <w:szCs w:val="32"/>
        </w:rPr>
        <w:t>确定</w:t>
      </w:r>
      <w:r>
        <w:rPr>
          <w:rFonts w:ascii="Times New Roman" w:hAnsi="Times New Roman" w:eastAsia="仿宋_GB2312" w:cs="Times New Roman"/>
          <w:bCs/>
          <w:sz w:val="32"/>
          <w:szCs w:val="32"/>
        </w:rPr>
        <w:t>。太阳神公司根据康惠公司制定、普云惠公司转来的《工作对接单》，</w:t>
      </w:r>
      <w:r>
        <w:rPr>
          <w:rFonts w:hint="eastAsia" w:ascii="Times New Roman" w:hAnsi="Times New Roman" w:eastAsia="仿宋_GB2312" w:cs="Times New Roman"/>
          <w:bCs/>
          <w:sz w:val="32"/>
          <w:szCs w:val="32"/>
        </w:rPr>
        <w:t>形式上</w:t>
      </w:r>
      <w:r>
        <w:rPr>
          <w:rFonts w:ascii="Times New Roman" w:hAnsi="Times New Roman" w:eastAsia="仿宋_GB2312" w:cs="Times New Roman"/>
          <w:bCs/>
          <w:sz w:val="32"/>
          <w:szCs w:val="32"/>
        </w:rPr>
        <w:t>从普云惠公司</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购买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注射用葡萄糖酸钙原料药后，制作销售合同，</w:t>
      </w:r>
      <w:r>
        <w:rPr>
          <w:rFonts w:hint="eastAsia" w:ascii="Times New Roman" w:hAnsi="Times New Roman" w:eastAsia="仿宋_GB2312" w:cs="Times New Roman"/>
          <w:bCs/>
          <w:sz w:val="32"/>
          <w:szCs w:val="32"/>
        </w:rPr>
        <w:t>再</w:t>
      </w:r>
      <w:r>
        <w:rPr>
          <w:rFonts w:ascii="Times New Roman" w:hAnsi="Times New Roman" w:eastAsia="仿宋_GB2312" w:cs="Times New Roman"/>
          <w:bCs/>
          <w:sz w:val="32"/>
          <w:szCs w:val="32"/>
        </w:rPr>
        <w:t>将原料药销售给下游制剂生产企业，交易对象、价格、数量、付款方式等均由康惠公司决定。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二是太阳神公司将利润</w:t>
      </w:r>
      <w:r>
        <w:rPr>
          <w:rFonts w:hint="eastAsia" w:ascii="Times New Roman" w:hAnsi="Times New Roman" w:eastAsia="仿宋_GB2312" w:cs="Times New Roman"/>
          <w:bCs/>
          <w:sz w:val="32"/>
          <w:szCs w:val="32"/>
        </w:rPr>
        <w:t>大部分</w:t>
      </w:r>
      <w:r>
        <w:rPr>
          <w:rFonts w:ascii="Times New Roman" w:hAnsi="Times New Roman" w:eastAsia="仿宋_GB2312" w:cs="Times New Roman"/>
          <w:bCs/>
          <w:sz w:val="32"/>
          <w:szCs w:val="32"/>
        </w:rPr>
        <w:t>返还康惠公司。太阳神公司根据康惠公司的指</w:t>
      </w:r>
      <w:r>
        <w:rPr>
          <w:rFonts w:hint="eastAsia" w:ascii="Times New Roman" w:hAnsi="Times New Roman" w:eastAsia="仿宋_GB2312" w:cs="Times New Roman"/>
          <w:bCs/>
          <w:sz w:val="32"/>
          <w:szCs w:val="32"/>
        </w:rPr>
        <w:t>令</w:t>
      </w:r>
      <w:r>
        <w:rPr>
          <w:rFonts w:ascii="Times New Roman" w:hAnsi="Times New Roman" w:eastAsia="仿宋_GB2312" w:cs="Times New Roman"/>
          <w:bCs/>
          <w:sz w:val="32"/>
          <w:szCs w:val="32"/>
        </w:rPr>
        <w:t>销售注射用葡萄糖酸钙原料药</w:t>
      </w:r>
      <w:r>
        <w:rPr>
          <w:rFonts w:hint="eastAsia" w:ascii="Times New Roman" w:hAnsi="Times New Roman" w:eastAsia="仿宋_GB2312" w:cs="Times New Roman"/>
          <w:bCs/>
          <w:sz w:val="32"/>
          <w:szCs w:val="32"/>
        </w:rPr>
        <w:t>等产品</w:t>
      </w:r>
      <w:r>
        <w:rPr>
          <w:rFonts w:ascii="Times New Roman" w:hAnsi="Times New Roman" w:eastAsia="仿宋_GB2312" w:cs="Times New Roman"/>
          <w:bCs/>
          <w:sz w:val="32"/>
          <w:szCs w:val="32"/>
        </w:rPr>
        <w:t>，对销售利润提取分成后，将大部分利润</w:t>
      </w:r>
      <w:r>
        <w:rPr>
          <w:rFonts w:hint="eastAsia" w:ascii="Times New Roman" w:hAnsi="Times New Roman" w:eastAsia="仿宋_GB2312" w:cs="Times New Roman"/>
          <w:bCs/>
          <w:sz w:val="32"/>
          <w:szCs w:val="32"/>
        </w:rPr>
        <w:t>通过各种形式</w:t>
      </w:r>
      <w:r>
        <w:rPr>
          <w:rFonts w:ascii="Times New Roman" w:hAnsi="Times New Roman" w:eastAsia="仿宋_GB2312" w:cs="Times New Roman"/>
          <w:bCs/>
          <w:sz w:val="32"/>
          <w:szCs w:val="32"/>
        </w:rPr>
        <w:t>返还给康惠公司。康惠公司要求太阳神公司将入库单、随货同行单、销售合同、销售发票等材料交康惠公司保管或备份，康惠公司与太阳神公司核对销</w:t>
      </w:r>
      <w:r>
        <w:rPr>
          <w:rFonts w:ascii="Times New Roman" w:hAnsi="Times New Roman" w:eastAsia="仿宋_GB2312" w:cs="Times New Roman"/>
          <w:sz w:val="32"/>
          <w:szCs w:val="32"/>
        </w:rPr>
        <w:t>售数据，保证利润返还至康惠公司。</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在注射用葡萄糖酸钙原料药等产品经营过程中，</w:t>
      </w:r>
      <w:r>
        <w:rPr>
          <w:rFonts w:ascii="Times New Roman" w:hAnsi="Times New Roman" w:eastAsia="仿宋_GB2312" w:cs="Times New Roman"/>
          <w:sz w:val="32"/>
          <w:szCs w:val="32"/>
        </w:rPr>
        <w:t>普云惠公司和太阳神公司</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受康惠公司控制，按照康惠公司的指</w:t>
      </w:r>
      <w:r>
        <w:rPr>
          <w:rFonts w:hint="eastAsia" w:ascii="Times New Roman" w:hAnsi="Times New Roman" w:eastAsia="仿宋_GB2312" w:cs="Times New Roman"/>
          <w:sz w:val="32"/>
          <w:szCs w:val="32"/>
        </w:rPr>
        <w:t>令开展经营活动，没有独立的经营意志</w:t>
      </w:r>
      <w:r>
        <w:rPr>
          <w:rFonts w:ascii="Times New Roman" w:hAnsi="Times New Roman" w:eastAsia="仿宋_GB2312" w:cs="Times New Roman"/>
          <w:sz w:val="32"/>
          <w:szCs w:val="32"/>
        </w:rPr>
        <w:t>。一是康惠公司将两家公司视为其</w:t>
      </w:r>
      <w:r>
        <w:rPr>
          <w:rFonts w:hint="eastAsia" w:ascii="Times New Roman" w:hAnsi="Times New Roman" w:eastAsia="仿宋_GB2312" w:cs="Times New Roman"/>
          <w:sz w:val="32"/>
          <w:szCs w:val="32"/>
        </w:rPr>
        <w:t>组成</w:t>
      </w:r>
      <w:r>
        <w:rPr>
          <w:rFonts w:ascii="Times New Roman" w:hAnsi="Times New Roman" w:eastAsia="仿宋_GB2312" w:cs="Times New Roman"/>
          <w:sz w:val="32"/>
          <w:szCs w:val="32"/>
        </w:rPr>
        <w:t>部门，通过《工作联系单》协调</w:t>
      </w:r>
      <w:r>
        <w:rPr>
          <w:rFonts w:hint="eastAsia" w:ascii="Times New Roman" w:hAnsi="Times New Roman" w:eastAsia="仿宋_GB2312" w:cs="Times New Roman"/>
          <w:sz w:val="32"/>
          <w:szCs w:val="32"/>
          <w:lang w:eastAsia="zh-CN"/>
        </w:rPr>
        <w:t>相关</w:t>
      </w:r>
      <w:r>
        <w:rPr>
          <w:rFonts w:ascii="Times New Roman" w:hAnsi="Times New Roman" w:eastAsia="仿宋_GB2312" w:cs="Times New Roman"/>
          <w:sz w:val="32"/>
          <w:szCs w:val="32"/>
        </w:rPr>
        <w:t>事宜；二是康惠公司在统计产品库存时，将其与普云惠公司和太阳神公司的库存量进行汇总，作为总库存量；三是康惠公司与</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客户开展业务时，通过普云惠公司和太阳神公司完成，康惠公司全面掌</w:t>
      </w:r>
      <w:r>
        <w:rPr>
          <w:rFonts w:hint="eastAsia" w:ascii="Times New Roman" w:hAnsi="Times New Roman" w:eastAsia="仿宋_GB2312" w:cs="Times New Roman"/>
          <w:sz w:val="32"/>
          <w:szCs w:val="32"/>
        </w:rPr>
        <w:t>控</w:t>
      </w:r>
      <w:r>
        <w:rPr>
          <w:rFonts w:ascii="Times New Roman" w:hAnsi="Times New Roman" w:eastAsia="仿宋_GB2312" w:cs="Times New Roman"/>
          <w:sz w:val="32"/>
          <w:szCs w:val="32"/>
        </w:rPr>
        <w:t>普云惠公司和太阳神公司</w:t>
      </w:r>
      <w:r>
        <w:rPr>
          <w:rFonts w:hint="eastAsia" w:ascii="Times New Roman" w:hAnsi="Times New Roman" w:eastAsia="仿宋_GB2312" w:cs="Times New Roman"/>
          <w:sz w:val="32"/>
          <w:szCs w:val="32"/>
        </w:rPr>
        <w:t>注射用葡萄糖酸钙原料药等产品</w:t>
      </w:r>
      <w:r>
        <w:rPr>
          <w:rFonts w:ascii="Times New Roman" w:hAnsi="Times New Roman" w:eastAsia="仿宋_GB2312" w:cs="Times New Roman"/>
          <w:sz w:val="32"/>
          <w:szCs w:val="32"/>
        </w:rPr>
        <w:t>交易情况。</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以上事实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有康惠公司人员花名册、康惠公司任职通知、康惠公司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工作联系单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、康惠公司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工作对接单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、康惠公司人员笔记、康惠公司发票记录本、康惠公司收款记录本、普云惠公司人员花名册、普云惠公司部门架构图、普云惠公司企业职工流动审批表、普云惠公</w:t>
      </w:r>
      <w:r>
        <w:rPr>
          <w:rFonts w:ascii="Times New Roman" w:hAnsi="Times New Roman" w:eastAsia="仿宋_GB2312" w:cs="Times New Roman"/>
          <w:sz w:val="32"/>
          <w:szCs w:val="32"/>
          <w:highlight w:val="none"/>
        </w:rPr>
        <w:t>司</w:t>
      </w:r>
      <w:r>
        <w:rPr>
          <w:rFonts w:hint="eastAsia" w:ascii="Times New Roman" w:hAnsi="Times New Roman" w:eastAsia="仿宋_GB2312" w:cs="Times New Roman"/>
          <w:sz w:val="32"/>
          <w:szCs w:val="32"/>
          <w:highlight w:val="none"/>
          <w:lang w:eastAsia="zh-CN"/>
        </w:rPr>
        <w:t>会计账簿</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太阳神公司回款明细表、普云惠公司和太阳神公司相关人员微信聊天记录、</w:t>
      </w:r>
      <w:r>
        <w:rPr>
          <w:rFonts w:ascii="Times New Roman" w:hAnsi="Times New Roman" w:eastAsia="仿宋_GB2312" w:cs="Times New Roman"/>
          <w:sz w:val="32"/>
          <w:szCs w:val="32"/>
          <w:highlight w:val="none"/>
        </w:rPr>
        <w:t>销售明细表、销售合同、销售发票、随货同行单、调查询问笔录等证据为</w:t>
      </w:r>
      <w:r>
        <w:rPr>
          <w:rFonts w:ascii="Times New Roman" w:hAnsi="Times New Roman" w:eastAsia="仿宋_GB2312" w:cs="Times New Roman"/>
          <w:sz w:val="32"/>
          <w:szCs w:val="32"/>
        </w:rPr>
        <w:t>证。</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调查过程中，</w:t>
      </w:r>
      <w:r>
        <w:rPr>
          <w:rFonts w:ascii="Times New Roman" w:hAnsi="Times New Roman" w:eastAsia="仿宋_GB2312" w:cs="Times New Roman"/>
          <w:sz w:val="32"/>
          <w:szCs w:val="32"/>
        </w:rPr>
        <w:t>康惠公司、普云惠公司和太阳神公司提出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司相互独立、没有关联关系，主要理由是：三家公司工商注册独立，相互间没有股权关系，股东及董事、监事、高管无亲属关系；三家公司业务上互有往来，但符合市场规则，是国内药品经销企业通行的销售模式。</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本机关研究认为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上述意见不能成立，主要理由是：表面上看，康惠公司、普云惠公司和太阳神公司没有关联关系，但根据调查掌握的证据</w:t>
      </w:r>
      <w:r>
        <w:rPr>
          <w:rFonts w:hint="eastAsia" w:ascii="Times New Roman" w:hAnsi="Times New Roman" w:eastAsia="仿宋_GB2312" w:cs="Times New Roman"/>
          <w:sz w:val="32"/>
          <w:szCs w:val="32"/>
        </w:rPr>
        <w:t>，康惠公司</w:t>
      </w:r>
      <w:r>
        <w:rPr>
          <w:rFonts w:ascii="Times New Roman" w:hAnsi="Times New Roman" w:eastAsia="仿宋_GB2312" w:cs="Times New Roman"/>
          <w:sz w:val="32"/>
          <w:szCs w:val="32"/>
        </w:rPr>
        <w:t>通过普云惠公司和太阳神公司进行注射用葡萄糖酸钙原料药</w:t>
      </w:r>
      <w:r>
        <w:rPr>
          <w:rFonts w:hint="eastAsia" w:ascii="Times New Roman" w:hAnsi="Times New Roman" w:eastAsia="仿宋_GB2312" w:cs="Times New Roman"/>
          <w:sz w:val="32"/>
          <w:szCs w:val="32"/>
        </w:rPr>
        <w:t>等产品</w:t>
      </w:r>
      <w:r>
        <w:rPr>
          <w:rFonts w:ascii="Times New Roman" w:hAnsi="Times New Roman" w:eastAsia="仿宋_GB2312" w:cs="Times New Roman"/>
          <w:sz w:val="32"/>
          <w:szCs w:val="32"/>
        </w:rPr>
        <w:t>交易</w:t>
      </w:r>
      <w:r>
        <w:rPr>
          <w:rFonts w:hint="eastAsia" w:ascii="Times New Roman" w:hAnsi="Times New Roman" w:eastAsia="仿宋_GB2312" w:cs="Times New Roman"/>
          <w:sz w:val="32"/>
          <w:szCs w:val="32"/>
        </w:rPr>
        <w:t>，三家公司具有统一、协调的经营意志，就实施本案垄断行为而言，康惠公司、普云惠公司、太阳神公司关系紧密，并不相互独立。本机关认定，康惠公司、普云惠公司、太阳神公司分工协作、密切配合，</w:t>
      </w:r>
      <w:r>
        <w:rPr>
          <w:rFonts w:ascii="Times New Roman" w:hAnsi="Times New Roman" w:eastAsia="仿宋_GB2312" w:cs="Times New Roman"/>
          <w:sz w:val="32"/>
          <w:szCs w:val="32"/>
        </w:rPr>
        <w:t>共同实施了</w:t>
      </w:r>
      <w:r>
        <w:rPr>
          <w:rFonts w:hint="eastAsia" w:ascii="Times New Roman" w:hAnsi="Times New Roman" w:eastAsia="仿宋_GB2312" w:cs="Times New Roman"/>
          <w:sz w:val="32"/>
          <w:szCs w:val="32"/>
        </w:rPr>
        <w:t>本案</w:t>
      </w:r>
      <w:r>
        <w:rPr>
          <w:rFonts w:ascii="Times New Roman" w:hAnsi="Times New Roman" w:eastAsia="仿宋_GB2312" w:cs="Times New Roman"/>
          <w:sz w:val="32"/>
          <w:szCs w:val="32"/>
        </w:rPr>
        <w:t>垄断行为。以下</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康惠公司、普云惠公司、太阳神公司统称为当事人。</w:t>
      </w:r>
    </w:p>
    <w:p>
      <w:pPr>
        <w:overflowPunct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（二）本案相关市场界定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本案相关商品市场为注射用葡萄糖酸钙原料药销售市场，相关地域市场为中国。</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b/>
          <w:sz w:val="32"/>
          <w:szCs w:val="32"/>
        </w:rPr>
        <w:t>本案</w:t>
      </w:r>
      <w:r>
        <w:rPr>
          <w:rFonts w:ascii="Times New Roman" w:hAnsi="Times New Roman" w:eastAsia="仿宋_GB2312" w:cs="Times New Roman"/>
          <w:b/>
          <w:sz w:val="32"/>
          <w:szCs w:val="32"/>
        </w:rPr>
        <w:t>相关商品市场为注射用葡萄糖酸钙原料药销售市场。</w:t>
      </w:r>
      <w:r>
        <w:rPr>
          <w:rFonts w:hint="eastAsia" w:ascii="Times New Roman" w:hAnsi="Times New Roman" w:eastAsia="仿宋_GB2312" w:cs="Times New Roman"/>
          <w:bCs/>
          <w:sz w:val="32"/>
          <w:szCs w:val="32"/>
        </w:rPr>
        <w:t>本案</w:t>
      </w:r>
      <w:r>
        <w:rPr>
          <w:rFonts w:hint="eastAsia" w:ascii="Times New Roman" w:hAnsi="Times New Roman" w:eastAsia="仿宋_GB2312" w:cs="Times New Roman"/>
          <w:sz w:val="32"/>
          <w:szCs w:val="32"/>
        </w:rPr>
        <w:t>当事人从事</w:t>
      </w:r>
      <w:r>
        <w:rPr>
          <w:rFonts w:ascii="Times New Roman" w:hAnsi="Times New Roman" w:eastAsia="仿宋_GB2312" w:cs="Times New Roman"/>
          <w:sz w:val="32"/>
          <w:szCs w:val="32"/>
        </w:rPr>
        <w:t>注射用葡萄糖酸钙原料药</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经销</w:t>
      </w:r>
      <w:r>
        <w:rPr>
          <w:rFonts w:hint="eastAsia" w:ascii="Times New Roman" w:hAnsi="Times New Roman" w:eastAsia="仿宋_GB2312" w:cs="Times New Roman"/>
          <w:sz w:val="32"/>
          <w:szCs w:val="32"/>
        </w:rPr>
        <w:t>业务</w:t>
      </w:r>
      <w:r>
        <w:rPr>
          <w:rFonts w:ascii="Times New Roman" w:hAnsi="Times New Roman" w:eastAsia="仿宋_GB2312" w:cs="Times New Roman"/>
          <w:sz w:val="32"/>
          <w:szCs w:val="32"/>
        </w:rPr>
        <w:t>。注射用葡萄糖酸钙原料药为葡萄糖酸钙原料药的一种。葡萄糖酸钙原料药为白色结晶性或颗粒性粉末</w:t>
      </w:r>
      <w:r>
        <w:rPr>
          <w:rFonts w:ascii="Times New Roman" w:hAnsi="Times New Roman" w:eastAsia="仿宋_GB2312" w:cs="Times New Roman"/>
          <w:sz w:val="32"/>
          <w:szCs w:val="32"/>
          <w:highlight w:val="none"/>
        </w:rPr>
        <w:t>，用途包括促</w:t>
      </w:r>
      <w:r>
        <w:rPr>
          <w:rFonts w:ascii="Times New Roman" w:hAnsi="Times New Roman" w:eastAsia="仿宋_GB2312" w:cs="Times New Roman"/>
          <w:sz w:val="32"/>
          <w:szCs w:val="32"/>
        </w:rPr>
        <w:t>进骨骼和牙齿的钙化，维持神经和肌肉的正常兴奋性，降低毛细血管渗透性，可用于缺钙症及过敏性疾患。由于产品特性、用途等因素，市场上尚未出现能够替代葡萄糖酸钙原料药的其他原料药品种。因此，葡萄糖酸钙原料药与其他品种的原料药属于不同的相关市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根据产品品质和用途的不同，葡萄糖酸钙原料药分为注射用和口服用两个等级，分别用于生产葡萄糖酸钙注射液、葡萄糖酸钙口服液</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片剂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。本案相关商品市场为注射用葡萄糖酸钙原料药销售市场，理由是：注射用葡萄糖酸钙原料药与口服用葡萄糖酸钙原料药不具有较为紧密</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替代关系，分属不同的相关市场。</w:t>
      </w:r>
      <w:r>
        <w:rPr>
          <w:rFonts w:ascii="Times New Roman" w:hAnsi="Times New Roman" w:eastAsia="仿宋_GB2312" w:cs="Times New Roman"/>
          <w:bCs/>
          <w:sz w:val="32"/>
          <w:szCs w:val="32"/>
        </w:rPr>
        <w:t>从需求替代分析</w:t>
      </w:r>
      <w:r>
        <w:rPr>
          <w:rFonts w:ascii="Times New Roman" w:hAnsi="Times New Roman" w:eastAsia="仿宋_GB2312" w:cs="Times New Roman"/>
          <w:sz w:val="32"/>
          <w:szCs w:val="32"/>
        </w:rPr>
        <w:t>，注射用葡萄糖酸钙原料药具有</w:t>
      </w:r>
      <w:r>
        <w:rPr>
          <w:rFonts w:hint="eastAsia" w:ascii="Times New Roman" w:hAnsi="Times New Roman" w:eastAsia="仿宋_GB2312" w:cs="Times New Roman"/>
          <w:sz w:val="32"/>
          <w:szCs w:val="32"/>
        </w:rPr>
        <w:t>更为</w:t>
      </w:r>
      <w:r>
        <w:rPr>
          <w:rFonts w:ascii="Times New Roman" w:hAnsi="Times New Roman" w:eastAsia="仿宋_GB2312" w:cs="Times New Roman"/>
          <w:sz w:val="32"/>
          <w:szCs w:val="32"/>
        </w:rPr>
        <w:t>严格的质量标准要求，不仅要达到《中华人民共和国药典》对溶液澄清度的要求，还要满足内毒素、金属物质含量、微生物限度等指标要求。</w:t>
      </w:r>
      <w:r>
        <w:rPr>
          <w:rFonts w:hint="eastAsia" w:ascii="Times New Roman" w:hAnsi="Times New Roman" w:eastAsia="仿宋_GB2312" w:cs="Times New Roman"/>
          <w:sz w:val="32"/>
          <w:szCs w:val="32"/>
          <w:highlight w:val="none"/>
          <w:lang w:eastAsia="zh-CN"/>
        </w:rPr>
        <w:t>由于</w:t>
      </w:r>
      <w:r>
        <w:rPr>
          <w:rFonts w:ascii="Times New Roman" w:hAnsi="Times New Roman" w:eastAsia="仿宋_GB2312" w:cs="Times New Roman"/>
          <w:sz w:val="32"/>
          <w:szCs w:val="32"/>
          <w:highlight w:val="none"/>
        </w:rPr>
        <w:t>口服用葡萄糖酸钙原料药达不到相关质量</w:t>
      </w:r>
      <w:r>
        <w:rPr>
          <w:rFonts w:hint="eastAsia" w:ascii="Times New Roman" w:hAnsi="Times New Roman" w:eastAsia="仿宋_GB2312" w:cs="Times New Roman"/>
          <w:sz w:val="32"/>
          <w:szCs w:val="32"/>
          <w:highlight w:val="none"/>
        </w:rPr>
        <w:t>要求</w:t>
      </w:r>
      <w:r>
        <w:rPr>
          <w:rFonts w:ascii="Times New Roman" w:hAnsi="Times New Roman" w:eastAsia="仿宋_GB2312" w:cs="Times New Roman"/>
          <w:sz w:val="32"/>
          <w:szCs w:val="32"/>
          <w:highlight w:val="none"/>
        </w:rPr>
        <w:t>，制剂生产企业不会也不能</w:t>
      </w:r>
      <w:r>
        <w:rPr>
          <w:rFonts w:hint="eastAsia" w:ascii="Times New Roman" w:hAnsi="Times New Roman" w:eastAsia="仿宋_GB2312" w:cs="Times New Roman"/>
          <w:sz w:val="32"/>
          <w:szCs w:val="32"/>
          <w:highlight w:val="none"/>
          <w:lang w:eastAsia="zh-CN"/>
        </w:rPr>
        <w:t>将其</w:t>
      </w:r>
      <w:r>
        <w:rPr>
          <w:rFonts w:ascii="Times New Roman" w:hAnsi="Times New Roman" w:eastAsia="仿宋_GB2312" w:cs="Times New Roman"/>
          <w:sz w:val="32"/>
          <w:szCs w:val="32"/>
          <w:highlight w:val="none"/>
        </w:rPr>
        <w:t>用于生产葡萄糖酸钙注射液。</w:t>
      </w:r>
      <w:r>
        <w:rPr>
          <w:rFonts w:ascii="Times New Roman" w:hAnsi="Times New Roman" w:eastAsia="仿宋_GB2312" w:cs="Times New Roman"/>
          <w:bCs/>
          <w:sz w:val="32"/>
          <w:szCs w:val="32"/>
        </w:rPr>
        <w:t>从供给替代分析</w:t>
      </w:r>
      <w:r>
        <w:rPr>
          <w:rFonts w:ascii="Times New Roman" w:hAnsi="Times New Roman" w:eastAsia="仿宋_GB2312" w:cs="Times New Roman"/>
          <w:sz w:val="32"/>
          <w:szCs w:val="32"/>
        </w:rPr>
        <w:t>，虽然两个不同等级的葡萄糖酸钙原料药在同一反应炉中生产出来，但葡萄糖酸钙原料药生产企业</w:t>
      </w:r>
      <w:r>
        <w:rPr>
          <w:rFonts w:hint="eastAsia" w:ascii="Times New Roman" w:hAnsi="Times New Roman" w:eastAsia="仿宋_GB2312" w:cs="Times New Roman"/>
          <w:sz w:val="32"/>
          <w:szCs w:val="32"/>
        </w:rPr>
        <w:t>总</w:t>
      </w:r>
      <w:r>
        <w:rPr>
          <w:rFonts w:ascii="Times New Roman" w:hAnsi="Times New Roman" w:eastAsia="仿宋_GB2312" w:cs="Times New Roman"/>
          <w:sz w:val="32"/>
          <w:szCs w:val="32"/>
        </w:rPr>
        <w:t>产能有限，在目前技术条件下，生产出来的葡萄糖酸钙原料药中注射用和口服用的比例</w:t>
      </w:r>
      <w:r>
        <w:rPr>
          <w:rFonts w:hint="eastAsia" w:ascii="Times New Roman" w:hAnsi="Times New Roman" w:eastAsia="仿宋_GB2312" w:cs="Times New Roman"/>
          <w:sz w:val="32"/>
          <w:szCs w:val="32"/>
        </w:rPr>
        <w:t>相对稳定</w:t>
      </w:r>
      <w:r>
        <w:rPr>
          <w:rFonts w:ascii="Times New Roman" w:hAnsi="Times New Roman" w:eastAsia="仿宋_GB2312" w:cs="Times New Roman"/>
          <w:sz w:val="32"/>
          <w:szCs w:val="32"/>
        </w:rPr>
        <w:t>，当注射用葡萄糖酸钙原料药市场供应紧张时，生产企业并不能通过</w:t>
      </w:r>
      <w:r>
        <w:rPr>
          <w:rFonts w:hint="eastAsia" w:ascii="Times New Roman" w:hAnsi="Times New Roman" w:eastAsia="仿宋_GB2312" w:cs="Times New Roman"/>
          <w:sz w:val="32"/>
          <w:szCs w:val="32"/>
        </w:rPr>
        <w:t>提升技术</w:t>
      </w:r>
      <w:r>
        <w:rPr>
          <w:rFonts w:hint="eastAsia" w:ascii="Times New Roman" w:hAnsi="Times New Roman" w:eastAsia="仿宋_GB2312" w:cs="Times New Roman"/>
          <w:sz w:val="32"/>
          <w:szCs w:val="32"/>
          <w:highlight w:val="none"/>
          <w:lang w:eastAsia="zh-CN"/>
        </w:rPr>
        <w:t>从而</w:t>
      </w:r>
      <w:r>
        <w:rPr>
          <w:rFonts w:ascii="Times New Roman" w:hAnsi="Times New Roman" w:eastAsia="仿宋_GB2312" w:cs="Times New Roman"/>
          <w:sz w:val="32"/>
          <w:szCs w:val="32"/>
        </w:rPr>
        <w:t>生产更多的注射用葡萄糖酸钙原料药。</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b/>
          <w:sz w:val="32"/>
          <w:szCs w:val="32"/>
        </w:rPr>
        <w:t>本案</w:t>
      </w:r>
      <w:r>
        <w:rPr>
          <w:rFonts w:ascii="Times New Roman" w:hAnsi="Times New Roman" w:eastAsia="仿宋_GB2312" w:cs="Times New Roman"/>
          <w:b/>
          <w:sz w:val="32"/>
          <w:szCs w:val="32"/>
        </w:rPr>
        <w:t>相关地域市场为中国。</w:t>
      </w:r>
      <w:r>
        <w:rPr>
          <w:rFonts w:ascii="Times New Roman" w:hAnsi="Times New Roman" w:eastAsia="仿宋_GB2312" w:cs="Times New Roman"/>
          <w:sz w:val="32"/>
          <w:szCs w:val="32"/>
        </w:rPr>
        <w:t>本案垄断行为实施期间，中国原料药市场存在严格的管制措施，在中国生产注射用葡萄糖酸钙原料药必须获得原料药批文、GMP</w:t>
      </w:r>
      <w:r>
        <w:rPr>
          <w:rFonts w:hint="eastAsia" w:ascii="Times New Roman" w:hAnsi="Times New Roman" w:eastAsia="仿宋_GB2312" w:cs="Times New Roman"/>
          <w:sz w:val="32"/>
          <w:szCs w:val="32"/>
        </w:rPr>
        <w:t>证书</w:t>
      </w:r>
      <w:r>
        <w:rPr>
          <w:rFonts w:ascii="Times New Roman" w:hAnsi="Times New Roman" w:eastAsia="仿宋_GB2312" w:cs="Times New Roman"/>
          <w:sz w:val="32"/>
          <w:szCs w:val="32"/>
          <w:highlight w:val="none"/>
        </w:rPr>
        <w:t>等资质</w:t>
      </w:r>
      <w:r>
        <w:rPr>
          <w:rFonts w:ascii="Times New Roman" w:hAnsi="Times New Roman" w:eastAsia="仿宋_GB2312" w:cs="Times New Roman"/>
          <w:sz w:val="32"/>
          <w:szCs w:val="32"/>
        </w:rPr>
        <w:t>，需满足注册检验、专家评审、临床测试、定期检查等监管要求，申请获得相关资质并满足监管要求需要较长的时间。国外生产的原料药在中国市场上销售需获得进口批文，我国没有颁发</w:t>
      </w:r>
      <w:r>
        <w:rPr>
          <w:rFonts w:hint="eastAsia" w:ascii="Times New Roman" w:hAnsi="Times New Roman" w:eastAsia="仿宋_GB2312" w:cs="Times New Roman"/>
          <w:sz w:val="32"/>
          <w:szCs w:val="32"/>
        </w:rPr>
        <w:t>过</w:t>
      </w:r>
      <w:r>
        <w:rPr>
          <w:rFonts w:ascii="Times New Roman" w:hAnsi="Times New Roman" w:eastAsia="仿宋_GB2312" w:cs="Times New Roman"/>
          <w:sz w:val="32"/>
          <w:szCs w:val="32"/>
        </w:rPr>
        <w:t>葡萄糖酸钙原料药进口批文。中</w:t>
      </w:r>
      <w:r>
        <w:rPr>
          <w:rFonts w:hint="eastAsia" w:ascii="Times New Roman" w:hAnsi="Times New Roman" w:eastAsia="仿宋_GB2312" w:cs="Times New Roman"/>
          <w:sz w:val="32"/>
          <w:szCs w:val="32"/>
        </w:rPr>
        <w:t>国葡萄糖酸钙注射液生产</w:t>
      </w:r>
      <w:r>
        <w:rPr>
          <w:rFonts w:hint="eastAsia" w:ascii="Times New Roman" w:hAnsi="Times New Roman" w:eastAsia="仿宋_GB2312" w:cs="Times New Roman"/>
          <w:sz w:val="32"/>
          <w:szCs w:val="32"/>
          <w:lang w:eastAsia="zh-CN"/>
        </w:rPr>
        <w:t>企业</w:t>
      </w:r>
      <w:r>
        <w:rPr>
          <w:rFonts w:hint="eastAsia" w:ascii="Times New Roman" w:hAnsi="Times New Roman" w:eastAsia="仿宋_GB2312" w:cs="Times New Roman"/>
          <w:sz w:val="32"/>
          <w:szCs w:val="32"/>
        </w:rPr>
        <w:t>采购</w:t>
      </w:r>
      <w:r>
        <w:rPr>
          <w:rFonts w:hint="eastAsia" w:ascii="Times New Roman" w:hAnsi="Times New Roman" w:eastAsia="仿宋_GB2312" w:cs="Times New Roman"/>
          <w:sz w:val="32"/>
          <w:szCs w:val="32"/>
          <w:lang w:eastAsia="zh-CN"/>
        </w:rPr>
        <w:t>注射用</w:t>
      </w:r>
      <w:r>
        <w:rPr>
          <w:rFonts w:hint="eastAsia" w:ascii="Times New Roman" w:hAnsi="Times New Roman" w:eastAsia="仿宋_GB2312" w:cs="Times New Roman"/>
          <w:sz w:val="32"/>
          <w:szCs w:val="32"/>
        </w:rPr>
        <w:t>葡萄糖酸钙原料药的实际地域范围为中国。</w:t>
      </w:r>
      <w:r>
        <w:rPr>
          <w:rFonts w:ascii="Times New Roman" w:hAnsi="Times New Roman" w:eastAsia="仿宋_GB2312" w:cs="Times New Roman"/>
          <w:sz w:val="32"/>
          <w:szCs w:val="32"/>
        </w:rPr>
        <w:t>因此，中国</w:t>
      </w:r>
      <w:r>
        <w:rPr>
          <w:rFonts w:hint="eastAsia" w:ascii="Times New Roman" w:hAnsi="Times New Roman" w:eastAsia="仿宋_GB2312" w:cs="Times New Roman"/>
          <w:sz w:val="32"/>
          <w:szCs w:val="32"/>
        </w:rPr>
        <w:t>注射用葡萄糖酸钙原料药销售市场是一个独立的地域市场</w:t>
      </w:r>
      <w:r>
        <w:rPr>
          <w:rFonts w:ascii="Times New Roman" w:hAnsi="Times New Roman" w:eastAsia="仿宋_GB2312" w:cs="Times New Roman"/>
          <w:sz w:val="32"/>
          <w:szCs w:val="32"/>
        </w:rPr>
        <w:t>，本案相关地域市场为中国。</w:t>
      </w:r>
    </w:p>
    <w:p>
      <w:pPr>
        <w:overflowPunct w:val="0"/>
        <w:spacing w:line="56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以上事实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有</w:t>
      </w:r>
      <w:r>
        <w:rPr>
          <w:rFonts w:hint="eastAsia" w:ascii="Times New Roman" w:hAnsi="Times New Roman" w:eastAsia="仿宋_GB2312" w:cs="Times New Roman"/>
          <w:sz w:val="32"/>
          <w:szCs w:val="32"/>
        </w:rPr>
        <w:t>葡萄糖酸钙原料药生产企业及相关行业协会关于葡萄糖酸钙原料药的</w:t>
      </w:r>
      <w:r>
        <w:rPr>
          <w:rFonts w:ascii="Times New Roman" w:hAnsi="Times New Roman" w:eastAsia="仿宋_GB2312" w:cs="Times New Roman"/>
          <w:sz w:val="32"/>
          <w:szCs w:val="32"/>
        </w:rPr>
        <w:t>情况说明、</w:t>
      </w:r>
      <w:r>
        <w:rPr>
          <w:rFonts w:hint="eastAsia" w:ascii="Times New Roman" w:hAnsi="Times New Roman" w:eastAsia="仿宋_GB2312" w:cs="Times New Roman"/>
          <w:sz w:val="32"/>
          <w:szCs w:val="32"/>
        </w:rPr>
        <w:t>葡萄糖酸钙原料药生产企业</w:t>
      </w:r>
      <w:r>
        <w:rPr>
          <w:rFonts w:ascii="Times New Roman" w:hAnsi="Times New Roman" w:eastAsia="仿宋_GB2312" w:cs="Times New Roman"/>
          <w:sz w:val="32"/>
          <w:szCs w:val="32"/>
        </w:rPr>
        <w:t>销售明细表、销售合同、销售发票、调查询问笔录等证据为证。</w:t>
      </w:r>
    </w:p>
    <w:p>
      <w:pPr>
        <w:overflowPunct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（三）当事人在</w:t>
      </w:r>
      <w:r>
        <w:rPr>
          <w:rFonts w:hint="eastAsia" w:ascii="Times New Roman" w:hAnsi="Times New Roman" w:eastAsia="楷体_GB2312" w:cs="Times New Roman"/>
          <w:b/>
          <w:bCs/>
          <w:sz w:val="32"/>
          <w:szCs w:val="32"/>
          <w:lang w:eastAsia="zh-CN"/>
        </w:rPr>
        <w:t>中国</w:t>
      </w:r>
      <w:r>
        <w:rPr>
          <w:rFonts w:ascii="Times New Roman" w:hAnsi="Times New Roman" w:eastAsia="楷体_GB2312" w:cs="Times New Roman"/>
          <w:b/>
          <w:bCs/>
          <w:sz w:val="32"/>
          <w:szCs w:val="32"/>
        </w:rPr>
        <w:t>注射用葡萄糖酸钙原料药销售市场具有市场支配地位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根据调查掌握的证据，本案</w:t>
      </w:r>
      <w:r>
        <w:rPr>
          <w:rFonts w:hint="eastAsia" w:ascii="Times New Roman" w:hAnsi="Times New Roman" w:eastAsia="仿宋_GB2312" w:cs="Times New Roman"/>
          <w:sz w:val="32"/>
          <w:szCs w:val="32"/>
        </w:rPr>
        <w:t>垄断</w:t>
      </w:r>
      <w:r>
        <w:rPr>
          <w:rFonts w:ascii="Times New Roman" w:hAnsi="Times New Roman" w:eastAsia="仿宋_GB2312" w:cs="Times New Roman"/>
          <w:sz w:val="32"/>
          <w:szCs w:val="32"/>
        </w:rPr>
        <w:t>行为实施期间，国内共有三家企业具有葡萄糖酸钙原料药批准文号和GMP证书，三家企业均实际生产，分别是：浙江瑞邦药业股份有限公司（以下简称浙江瑞邦）、江西新赣江药业股份有限公司（以下简称江西新赣江）、成都倍特药业</w:t>
      </w:r>
      <w:r>
        <w:rPr>
          <w:rFonts w:hint="eastAsia" w:ascii="Times New Roman" w:hAnsi="Times New Roman" w:eastAsia="仿宋_GB2312" w:cs="Times New Roman"/>
          <w:sz w:val="32"/>
          <w:szCs w:val="32"/>
        </w:rPr>
        <w:t>股份</w:t>
      </w:r>
      <w:r>
        <w:rPr>
          <w:rFonts w:ascii="Times New Roman" w:hAnsi="Times New Roman" w:eastAsia="仿宋_GB2312" w:cs="Times New Roman"/>
          <w:sz w:val="32"/>
          <w:szCs w:val="32"/>
        </w:rPr>
        <w:t>有限公司（以下简称成都倍特）。</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2015年8月至2017年12月，当事人通过包销、大量购买或者要求生产企业不对外销售等方式，控制了</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注射用葡萄糖酸钙原料药销售市场。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一是当事人包销了江西新赣江生产的注射用葡萄糖酸钙原料药。当事人与江西新赣江达成口头协议，约定江西新赣江将注射用葡萄糖酸钙原料药包销给当事人。根据调查掌握的证据，江西新赣江执行了上述约定</w:t>
      </w:r>
      <w:r>
        <w:rPr>
          <w:rFonts w:hint="eastAsia" w:ascii="Times New Roman" w:hAnsi="Times New Roman" w:eastAsia="仿宋_GB2312" w:cs="Times New Roman"/>
          <w:sz w:val="32"/>
          <w:szCs w:val="32"/>
        </w:rPr>
        <w:t>，本案垄断行为实施期间，</w:t>
      </w:r>
      <w:r>
        <w:rPr>
          <w:rFonts w:ascii="Times New Roman" w:hAnsi="Times New Roman" w:eastAsia="仿宋_GB2312" w:cs="Times New Roman"/>
          <w:sz w:val="32"/>
          <w:szCs w:val="32"/>
        </w:rPr>
        <w:t>江西新赣江</w:t>
      </w:r>
      <w:r>
        <w:rPr>
          <w:rFonts w:hint="eastAsia" w:ascii="Times New Roman" w:hAnsi="Times New Roman" w:eastAsia="仿宋_GB2312" w:cs="Times New Roman"/>
          <w:sz w:val="32"/>
          <w:szCs w:val="32"/>
        </w:rPr>
        <w:t>生产的注射用葡萄糖酸钙原料药</w:t>
      </w:r>
      <w:r>
        <w:rPr>
          <w:rFonts w:hint="eastAsia" w:ascii="Times New Roman" w:hAnsi="Times New Roman" w:eastAsia="仿宋_GB2312" w:cs="Times New Roman"/>
          <w:sz w:val="32"/>
          <w:szCs w:val="32"/>
          <w:highlight w:val="none"/>
        </w:rPr>
        <w:t>基本全部</w:t>
      </w:r>
      <w:r>
        <w:rPr>
          <w:rFonts w:hint="eastAsia" w:ascii="Times New Roman" w:hAnsi="Times New Roman" w:eastAsia="仿宋_GB2312" w:cs="Times New Roman"/>
          <w:sz w:val="32"/>
          <w:szCs w:val="32"/>
        </w:rPr>
        <w:t>销售给了当事人。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二是</w:t>
      </w:r>
      <w:r>
        <w:rPr>
          <w:rFonts w:ascii="Times New Roman" w:hAnsi="Times New Roman" w:eastAsia="仿宋_GB2312" w:cs="Times New Roman"/>
          <w:sz w:val="32"/>
          <w:szCs w:val="32"/>
        </w:rPr>
        <w:t>当事人大量购买了浙江瑞邦生产的注射用葡萄糖酸钙原料药。</w:t>
      </w:r>
      <w:r>
        <w:rPr>
          <w:rFonts w:hint="eastAsia" w:ascii="Times New Roman" w:hAnsi="Times New Roman" w:eastAsia="仿宋_GB2312" w:cs="Times New Roman"/>
          <w:sz w:val="32"/>
          <w:szCs w:val="32"/>
        </w:rPr>
        <w:t>当事人向浙江瑞邦提出包销其生产的注射用葡萄糖酸钙原料药，浙江瑞邦表示</w:t>
      </w:r>
      <w:r>
        <w:rPr>
          <w:rFonts w:hint="eastAsia" w:ascii="Times New Roman" w:hAnsi="Times New Roman" w:eastAsia="仿宋_GB2312" w:cs="Times New Roman"/>
          <w:sz w:val="32"/>
          <w:szCs w:val="32"/>
          <w:lang w:eastAsia="zh-CN"/>
        </w:rPr>
        <w:t>不</w:t>
      </w:r>
      <w:r>
        <w:rPr>
          <w:rFonts w:hint="eastAsia" w:ascii="Times New Roman" w:hAnsi="Times New Roman" w:eastAsia="仿宋_GB2312" w:cs="Times New Roman"/>
          <w:sz w:val="32"/>
          <w:szCs w:val="32"/>
        </w:rPr>
        <w:t>同意包销，但向当事人大量销售</w:t>
      </w:r>
      <w:r>
        <w:rPr>
          <w:rFonts w:ascii="Times New Roman" w:hAnsi="Times New Roman" w:eastAsia="仿宋_GB2312" w:cs="Times New Roman"/>
          <w:sz w:val="32"/>
          <w:szCs w:val="32"/>
        </w:rPr>
        <w:t>注射用葡萄糖酸钙原料药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根据调查掌握的证据，本案垄断行为实施期间，浙江瑞邦生产的注射用葡萄糖酸钙原料药</w:t>
      </w:r>
      <w:r>
        <w:rPr>
          <w:rFonts w:hint="eastAsia" w:ascii="Times New Roman" w:hAnsi="Times New Roman" w:eastAsia="仿宋_GB2312" w:cs="Times New Roman"/>
          <w:sz w:val="32"/>
          <w:szCs w:val="32"/>
        </w:rPr>
        <w:t>超过85%销售给了</w:t>
      </w:r>
      <w:r>
        <w:rPr>
          <w:rFonts w:ascii="Times New Roman" w:hAnsi="Times New Roman" w:eastAsia="仿宋_GB2312" w:cs="Times New Roman"/>
          <w:sz w:val="32"/>
          <w:szCs w:val="32"/>
        </w:rPr>
        <w:t>当事人。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三是</w:t>
      </w:r>
      <w:r>
        <w:rPr>
          <w:rFonts w:ascii="Times New Roman" w:hAnsi="Times New Roman" w:eastAsia="仿宋_GB2312" w:cs="Times New Roman"/>
          <w:sz w:val="32"/>
          <w:szCs w:val="32"/>
        </w:rPr>
        <w:t>当事人与成都倍特达成了不对外销售注射用葡萄糖酸钙原料药的合作协议。2016年12月，成都倍特获得葡萄糖酸钙原料药GMP证书，</w:t>
      </w:r>
      <w:r>
        <w:rPr>
          <w:rFonts w:hint="eastAsia" w:ascii="Times New Roman" w:hAnsi="Times New Roman" w:eastAsia="仿宋_GB2312" w:cs="Times New Roman"/>
          <w:sz w:val="32"/>
          <w:szCs w:val="32"/>
        </w:rPr>
        <w:t>当事人</w:t>
      </w:r>
      <w:r>
        <w:rPr>
          <w:rFonts w:ascii="Times New Roman" w:hAnsi="Times New Roman" w:eastAsia="仿宋_GB2312" w:cs="Times New Roman"/>
          <w:sz w:val="32"/>
          <w:szCs w:val="32"/>
        </w:rPr>
        <w:t>即与成都倍特签订《关于葡萄糖酸钙原料药及制剂的合作协议》，约定成都倍特生产的注射用葡萄糖酸钙原料药仅用于</w:t>
      </w:r>
      <w:r>
        <w:rPr>
          <w:rFonts w:hint="eastAsia" w:ascii="Times New Roman" w:hAnsi="Times New Roman" w:eastAsia="仿宋_GB2312" w:cs="Times New Roman"/>
          <w:strike w:val="0"/>
          <w:dstrike w:val="0"/>
          <w:sz w:val="32"/>
          <w:szCs w:val="32"/>
          <w:lang w:eastAsia="zh-CN"/>
        </w:rPr>
        <w:t>其</w:t>
      </w:r>
      <w:r>
        <w:rPr>
          <w:rFonts w:ascii="Times New Roman" w:hAnsi="Times New Roman" w:eastAsia="仿宋_GB2312" w:cs="Times New Roman"/>
          <w:sz w:val="32"/>
          <w:szCs w:val="32"/>
        </w:rPr>
        <w:t>生产注射液，不对外销售。证据</w:t>
      </w:r>
      <w:r>
        <w:rPr>
          <w:rFonts w:hint="eastAsia" w:ascii="Times New Roman" w:hAnsi="Times New Roman" w:eastAsia="仿宋_GB2312" w:cs="Times New Roman"/>
          <w:sz w:val="32"/>
          <w:szCs w:val="32"/>
        </w:rPr>
        <w:t>表明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本案垄断行为实施期间，</w:t>
      </w:r>
      <w:r>
        <w:rPr>
          <w:rFonts w:ascii="Times New Roman" w:hAnsi="Times New Roman" w:eastAsia="仿宋_GB2312" w:cs="Times New Roman"/>
          <w:sz w:val="32"/>
          <w:szCs w:val="32"/>
        </w:rPr>
        <w:t>成都倍特基本不</w:t>
      </w:r>
      <w:r>
        <w:rPr>
          <w:rFonts w:hint="eastAsia" w:ascii="Times New Roman" w:hAnsi="Times New Roman" w:eastAsia="仿宋_GB2312" w:cs="Times New Roman"/>
          <w:sz w:val="32"/>
          <w:szCs w:val="32"/>
        </w:rPr>
        <w:t>对外</w:t>
      </w:r>
      <w:r>
        <w:rPr>
          <w:rFonts w:ascii="Times New Roman" w:hAnsi="Times New Roman" w:eastAsia="仿宋_GB2312" w:cs="Times New Roman"/>
          <w:sz w:val="32"/>
          <w:szCs w:val="32"/>
        </w:rPr>
        <w:t>销售注射用葡萄糖酸钙原料药。</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根据《反垄断法》第十八条规定，本机关依据以下因素，认定</w:t>
      </w:r>
      <w:r>
        <w:rPr>
          <w:rFonts w:ascii="Times New Roman" w:hAnsi="Times New Roman" w:eastAsia="仿宋_GB2312" w:cs="Times New Roman"/>
          <w:sz w:val="32"/>
          <w:szCs w:val="32"/>
        </w:rPr>
        <w:t>当事人</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中国注射用葡萄糖酸钙原料药销售市场具有</w:t>
      </w:r>
      <w:r>
        <w:rPr>
          <w:rFonts w:hint="eastAsia" w:ascii="Times New Roman" w:hAnsi="Times New Roman" w:eastAsia="仿宋_GB2312" w:cs="Times New Roman"/>
          <w:sz w:val="32"/>
          <w:szCs w:val="32"/>
        </w:rPr>
        <w:t>市场</w:t>
      </w:r>
      <w:r>
        <w:rPr>
          <w:rFonts w:ascii="Times New Roman" w:hAnsi="Times New Roman" w:eastAsia="仿宋_GB2312" w:cs="Times New Roman"/>
          <w:sz w:val="32"/>
          <w:szCs w:val="32"/>
        </w:rPr>
        <w:t>支配地位。</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当事人占有较高的市场份额，</w:t>
      </w:r>
      <w:r>
        <w:rPr>
          <w:rFonts w:hint="eastAsia" w:ascii="Times New Roman" w:hAnsi="Times New Roman" w:eastAsia="仿宋_GB2312" w:cs="Times New Roman"/>
          <w:b/>
          <w:sz w:val="32"/>
          <w:szCs w:val="32"/>
        </w:rPr>
        <w:t>市场竞争不充分</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经查，2015年8-12月、2016年、2017年当事人在中国注射用葡萄糖酸钙原料药销售市场</w:t>
      </w:r>
      <w:r>
        <w:rPr>
          <w:rFonts w:hint="eastAsia" w:ascii="Times New Roman" w:hAnsi="Times New Roman" w:eastAsia="仿宋_GB2312" w:cs="Times New Roman"/>
          <w:sz w:val="32"/>
          <w:szCs w:val="32"/>
        </w:rPr>
        <w:t>上</w:t>
      </w:r>
      <w:r>
        <w:rPr>
          <w:rFonts w:ascii="Times New Roman" w:hAnsi="Times New Roman" w:eastAsia="仿宋_GB2312" w:cs="Times New Roman"/>
          <w:sz w:val="32"/>
          <w:szCs w:val="32"/>
        </w:rPr>
        <w:t>的市场份额分别为94%、91%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。当事人通过包销、大量购买、要求生产企业不对外销售等方式，控制了中国注射用葡萄糖酸钙原料药销售市场，相关市场缺乏有效竞争。</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当事人具有控制销售市场的能力。</w:t>
      </w:r>
      <w:r>
        <w:rPr>
          <w:rFonts w:hint="eastAsia" w:ascii="Times New Roman" w:hAnsi="Times New Roman" w:eastAsia="仿宋_GB2312" w:cs="Times New Roman"/>
          <w:b w:val="0"/>
          <w:bCs/>
          <w:sz w:val="32"/>
          <w:szCs w:val="32"/>
        </w:rPr>
        <w:t>本案垄断行为实施期间，</w:t>
      </w:r>
      <w:r>
        <w:rPr>
          <w:rFonts w:hint="eastAsia" w:ascii="Times New Roman" w:hAnsi="Times New Roman" w:eastAsia="仿宋_GB2312" w:cs="Times New Roman"/>
          <w:sz w:val="32"/>
          <w:szCs w:val="32"/>
        </w:rPr>
        <w:t>当事人通过包销、大量购买、要求生产企业不对外销售等方式，控制了中国注射用葡萄糖酸钙原料药的销售。</w:t>
      </w:r>
      <w:r>
        <w:rPr>
          <w:rFonts w:hint="eastAsia" w:ascii="Times New Roman" w:hAnsi="Times New Roman" w:eastAsia="仿宋_GB2312" w:cs="Times New Roman"/>
          <w:sz w:val="32"/>
          <w:szCs w:val="32"/>
          <w:lang w:eastAsia="zh-CN"/>
        </w:rPr>
        <w:t>三家</w:t>
      </w:r>
      <w:r>
        <w:rPr>
          <w:rFonts w:ascii="Times New Roman" w:hAnsi="Times New Roman" w:eastAsia="仿宋_GB2312" w:cs="Times New Roman"/>
          <w:sz w:val="32"/>
          <w:szCs w:val="32"/>
        </w:rPr>
        <w:t>生产企业向当事人销售注射用葡萄糖酸钙原料药后，</w:t>
      </w:r>
      <w:r>
        <w:rPr>
          <w:rFonts w:hint="eastAsia" w:ascii="Times New Roman" w:hAnsi="Times New Roman" w:eastAsia="仿宋_GB2312" w:cs="Times New Roman"/>
          <w:sz w:val="32"/>
          <w:szCs w:val="32"/>
        </w:rPr>
        <w:t>基本不向其他经销企业和葡萄糖酸钙注射液生产企业供应原料药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下游制剂生产企业只能向当事人购买原料药，交易价格、数量等条件均由当事人确定，制剂生产企业没有谈判空间，只能</w:t>
      </w:r>
      <w:r>
        <w:rPr>
          <w:rFonts w:hint="eastAsia" w:ascii="Times New Roman" w:hAnsi="Times New Roman" w:eastAsia="仿宋_GB2312" w:cs="Times New Roman"/>
          <w:sz w:val="32"/>
          <w:szCs w:val="32"/>
        </w:rPr>
        <w:t>被动</w:t>
      </w:r>
      <w:r>
        <w:rPr>
          <w:rFonts w:ascii="Times New Roman" w:hAnsi="Times New Roman" w:eastAsia="仿宋_GB2312" w:cs="Times New Roman"/>
          <w:sz w:val="32"/>
          <w:szCs w:val="32"/>
        </w:rPr>
        <w:t>接受。当事人具有控制注射用葡萄糖酸钙原料药</w:t>
      </w:r>
      <w:r>
        <w:rPr>
          <w:rFonts w:hint="eastAsia" w:ascii="Times New Roman" w:hAnsi="Times New Roman" w:eastAsia="仿宋_GB2312" w:cs="Times New Roman"/>
          <w:sz w:val="32"/>
          <w:szCs w:val="32"/>
        </w:rPr>
        <w:t>销售</w:t>
      </w:r>
      <w:r>
        <w:rPr>
          <w:rFonts w:ascii="Times New Roman" w:hAnsi="Times New Roman" w:eastAsia="仿宋_GB2312" w:cs="Times New Roman"/>
          <w:sz w:val="32"/>
          <w:szCs w:val="32"/>
        </w:rPr>
        <w:t>价格</w:t>
      </w:r>
      <w:r>
        <w:rPr>
          <w:rFonts w:hint="eastAsia" w:ascii="Times New Roman" w:hAnsi="Times New Roman" w:eastAsia="仿宋_GB2312" w:cs="Times New Roman"/>
          <w:sz w:val="32"/>
          <w:szCs w:val="32"/>
        </w:rPr>
        <w:t>和销售</w:t>
      </w:r>
      <w:r>
        <w:rPr>
          <w:rFonts w:ascii="Times New Roman" w:hAnsi="Times New Roman" w:eastAsia="仿宋_GB2312" w:cs="Times New Roman"/>
          <w:sz w:val="32"/>
          <w:szCs w:val="32"/>
        </w:rPr>
        <w:t>数量的能力。</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3.</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下游制剂生产企业对当事人依赖程度较高。</w:t>
      </w:r>
      <w:r>
        <w:rPr>
          <w:rFonts w:ascii="Times New Roman" w:hAnsi="Times New Roman" w:eastAsia="仿宋_GB2312" w:cs="Times New Roman"/>
          <w:sz w:val="32"/>
          <w:szCs w:val="32"/>
        </w:rPr>
        <w:t>注射用葡萄糖酸钙原料药是生产葡萄糖酸钙注射液的基本原料。</w:t>
      </w:r>
      <w:r>
        <w:rPr>
          <w:rFonts w:hint="eastAsia" w:ascii="Times New Roman" w:hAnsi="Times New Roman" w:eastAsia="仿宋_GB2312" w:cs="Times New Roman"/>
          <w:sz w:val="32"/>
          <w:szCs w:val="32"/>
        </w:rPr>
        <w:t>本案垄断行为实施期间，当事人控制注射用葡萄糖酸钙原料药销售市场后，葡萄糖酸钙注射液</w:t>
      </w:r>
      <w:r>
        <w:rPr>
          <w:rFonts w:ascii="Times New Roman" w:hAnsi="Times New Roman" w:eastAsia="仿宋_GB2312" w:cs="Times New Roman"/>
          <w:sz w:val="32"/>
          <w:szCs w:val="32"/>
        </w:rPr>
        <w:t>生产企业为了获得稳定</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原料药供应，只能向当事人购买</w:t>
      </w:r>
      <w:r>
        <w:rPr>
          <w:rFonts w:hint="eastAsia" w:ascii="Times New Roman" w:hAnsi="Times New Roman" w:eastAsia="仿宋_GB2312" w:cs="Times New Roman"/>
          <w:sz w:val="32"/>
          <w:szCs w:val="32"/>
        </w:rPr>
        <w:t>注射用葡萄糖酸钙原料药</w:t>
      </w:r>
      <w:r>
        <w:rPr>
          <w:rFonts w:ascii="Times New Roman" w:hAnsi="Times New Roman" w:eastAsia="仿宋_GB2312" w:cs="Times New Roman"/>
          <w:sz w:val="32"/>
          <w:szCs w:val="32"/>
        </w:rPr>
        <w:t>，对当事人的依赖程度较高。</w:t>
      </w:r>
      <w:r>
        <w:rPr>
          <w:rFonts w:hint="eastAsia" w:ascii="Times New Roman" w:hAnsi="Times New Roman" w:eastAsia="仿宋_GB2312" w:cs="Times New Roman"/>
          <w:sz w:val="32"/>
          <w:szCs w:val="32"/>
        </w:rPr>
        <w:t>部分葡萄糖酸钙注射液</w:t>
      </w:r>
      <w:r>
        <w:rPr>
          <w:rFonts w:ascii="Times New Roman" w:hAnsi="Times New Roman" w:eastAsia="仿宋_GB2312" w:cs="Times New Roman"/>
          <w:sz w:val="32"/>
          <w:szCs w:val="32"/>
        </w:rPr>
        <w:t>生产企业</w:t>
      </w:r>
      <w:r>
        <w:rPr>
          <w:rFonts w:hint="eastAsia" w:ascii="Times New Roman" w:hAnsi="Times New Roman" w:eastAsia="仿宋_GB2312" w:cs="Times New Roman"/>
          <w:sz w:val="32"/>
          <w:szCs w:val="32"/>
        </w:rPr>
        <w:t>虽然</w:t>
      </w:r>
      <w:r>
        <w:rPr>
          <w:rFonts w:ascii="Times New Roman" w:hAnsi="Times New Roman" w:eastAsia="仿宋_GB2312" w:cs="Times New Roman"/>
          <w:sz w:val="32"/>
          <w:szCs w:val="32"/>
        </w:rPr>
        <w:t>比当事人财力更为雄厚，但难以对当事人形成有效约束。</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其他经营者进入相关市场的难度较大。</w:t>
      </w:r>
      <w:r>
        <w:rPr>
          <w:rFonts w:hint="eastAsia" w:ascii="Times New Roman" w:hAnsi="Times New Roman" w:eastAsia="仿宋_GB2312" w:cs="Times New Roman"/>
          <w:sz w:val="32"/>
          <w:szCs w:val="32"/>
        </w:rPr>
        <w:t>本案垄断行为实施期间，</w:t>
      </w:r>
      <w:r>
        <w:rPr>
          <w:rFonts w:ascii="Times New Roman" w:hAnsi="Times New Roman" w:eastAsia="仿宋_GB2312" w:cs="Times New Roman"/>
          <w:sz w:val="32"/>
          <w:szCs w:val="32"/>
        </w:rPr>
        <w:t>浙江瑞邦、江西新赣江和成都倍特与当事人联系紧密，其他经销企业难以从现有生产企业获得原料药供应，只能寻找新的原料药供应商。生产注射用葡萄糖酸钙原料药需同时具备原料药批文、GMP证书</w:t>
      </w:r>
      <w:r>
        <w:rPr>
          <w:rFonts w:ascii="Times New Roman" w:hAnsi="Times New Roman" w:eastAsia="仿宋_GB2312" w:cs="Times New Roman"/>
          <w:sz w:val="32"/>
          <w:szCs w:val="32"/>
          <w:highlight w:val="none"/>
        </w:rPr>
        <w:t>等资质</w:t>
      </w:r>
      <w:r>
        <w:rPr>
          <w:rFonts w:ascii="Times New Roman" w:hAnsi="Times New Roman" w:eastAsia="仿宋_GB2312" w:cs="Times New Roman"/>
          <w:sz w:val="32"/>
          <w:szCs w:val="32"/>
        </w:rPr>
        <w:t>，并满足监管要求，国外生产企业向国内</w:t>
      </w:r>
      <w:r>
        <w:rPr>
          <w:rFonts w:hint="eastAsia" w:ascii="Times New Roman" w:hAnsi="Times New Roman" w:eastAsia="仿宋_GB2312" w:cs="Times New Roman"/>
          <w:sz w:val="32"/>
          <w:szCs w:val="32"/>
        </w:rPr>
        <w:t>销售</w:t>
      </w:r>
      <w:r>
        <w:rPr>
          <w:rFonts w:ascii="Times New Roman" w:hAnsi="Times New Roman" w:eastAsia="仿宋_GB2312" w:cs="Times New Roman"/>
          <w:sz w:val="32"/>
          <w:szCs w:val="32"/>
        </w:rPr>
        <w:t>必须具备原料药进口批文。获得相关批文需要有成熟的技术条件，并</w:t>
      </w:r>
      <w:r>
        <w:rPr>
          <w:rFonts w:hint="eastAsia" w:ascii="Times New Roman" w:hAnsi="Times New Roman" w:eastAsia="仿宋_GB2312" w:cs="Times New Roman"/>
          <w:sz w:val="32"/>
          <w:szCs w:val="32"/>
        </w:rPr>
        <w:t>需要较长时间</w:t>
      </w:r>
      <w:r>
        <w:rPr>
          <w:rFonts w:ascii="Times New Roman" w:hAnsi="Times New Roman" w:eastAsia="仿宋_GB2312" w:cs="Times New Roman"/>
          <w:sz w:val="32"/>
          <w:szCs w:val="32"/>
        </w:rPr>
        <w:t>，且下游制剂生产企业改用新供应来源的注射用葡萄糖酸钙原料药，需对所生产的葡萄糖酸钙注射液重新进行检验和备案。因此，</w:t>
      </w:r>
      <w:r>
        <w:rPr>
          <w:rFonts w:hint="eastAsia" w:ascii="Times New Roman" w:hAnsi="Times New Roman" w:eastAsia="仿宋_GB2312" w:cs="Times New Roman"/>
          <w:sz w:val="32"/>
          <w:szCs w:val="32"/>
        </w:rPr>
        <w:t>本案垄断行为实施期间，</w:t>
      </w:r>
      <w:r>
        <w:rPr>
          <w:rFonts w:ascii="Times New Roman" w:hAnsi="Times New Roman" w:eastAsia="仿宋_GB2312" w:cs="Times New Roman"/>
          <w:sz w:val="32"/>
          <w:szCs w:val="32"/>
        </w:rPr>
        <w:t>其他经营者难以进入注射用葡萄糖酸钙原料药销售市场。</w:t>
      </w:r>
    </w:p>
    <w:p>
      <w:pPr>
        <w:overflowPunct w:val="0"/>
        <w:spacing w:line="56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以上事实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有浙江瑞邦、江西新赣江、成都倍特以及当事人的销售明细表、销售合同、销售发票、普云惠公司与成都倍特签订的合作协议、调查询问笔录等证据为证。 </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针对上述事实和证据，当事人主要提出了</w:t>
      </w:r>
      <w:r>
        <w:rPr>
          <w:rFonts w:hint="eastAsia" w:ascii="Times New Roman" w:hAnsi="Times New Roman" w:eastAsia="仿宋_GB2312" w:cs="Times New Roman"/>
          <w:sz w:val="32"/>
          <w:szCs w:val="32"/>
        </w:rPr>
        <w:t>两</w:t>
      </w:r>
      <w:r>
        <w:rPr>
          <w:rFonts w:ascii="Times New Roman" w:hAnsi="Times New Roman" w:eastAsia="仿宋_GB2312" w:cs="Times New Roman"/>
          <w:sz w:val="32"/>
          <w:szCs w:val="32"/>
        </w:rPr>
        <w:t>方面意见：一是</w:t>
      </w:r>
      <w:r>
        <w:rPr>
          <w:rFonts w:hint="eastAsia" w:ascii="Times New Roman" w:hAnsi="Times New Roman" w:eastAsia="仿宋_GB2312" w:cs="Times New Roman"/>
          <w:sz w:val="32"/>
          <w:szCs w:val="32"/>
        </w:rPr>
        <w:t>注射用</w:t>
      </w:r>
      <w:r>
        <w:rPr>
          <w:rFonts w:ascii="Times New Roman" w:hAnsi="Times New Roman" w:eastAsia="仿宋_GB2312" w:cs="Times New Roman"/>
          <w:sz w:val="32"/>
          <w:szCs w:val="32"/>
        </w:rPr>
        <w:t>葡萄糖酸钙原料药市场供给较为充分，当事人未与原料药生产企业达成包销协议，也未限制原料药生产企业对其他企业进行销售活动；二是葡萄糖酸钙原料药生产企业自主销售</w:t>
      </w:r>
      <w:r>
        <w:rPr>
          <w:rFonts w:hint="eastAsia" w:ascii="Times New Roman" w:hAnsi="Times New Roman" w:eastAsia="仿宋_GB2312" w:cs="Times New Roman"/>
          <w:sz w:val="32"/>
          <w:szCs w:val="32"/>
        </w:rPr>
        <w:t>了大量</w:t>
      </w:r>
      <w:r>
        <w:rPr>
          <w:rFonts w:ascii="Times New Roman" w:hAnsi="Times New Roman" w:eastAsia="仿宋_GB2312" w:cs="Times New Roman"/>
          <w:sz w:val="32"/>
          <w:szCs w:val="32"/>
        </w:rPr>
        <w:t>原料药，当事人不具有较高的市场份额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例如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江西新赣江向</w:t>
      </w:r>
      <w:r>
        <w:rPr>
          <w:rFonts w:hint="eastAsia" w:ascii="Times New Roman" w:hAnsi="Times New Roman" w:eastAsia="仿宋_GB2312" w:cs="Times New Roman"/>
          <w:sz w:val="32"/>
          <w:szCs w:val="32"/>
        </w:rPr>
        <w:t>葡萄糖酸钙口服液、葡萄糖酸钙片剂生产企业</w:t>
      </w:r>
      <w:r>
        <w:rPr>
          <w:rFonts w:ascii="Times New Roman" w:hAnsi="Times New Roman" w:eastAsia="仿宋_GB2312" w:cs="Times New Roman"/>
          <w:sz w:val="32"/>
          <w:szCs w:val="32"/>
        </w:rPr>
        <w:t>销售了大量</w:t>
      </w:r>
      <w:r>
        <w:rPr>
          <w:rFonts w:hint="eastAsia" w:ascii="Times New Roman" w:hAnsi="Times New Roman" w:eastAsia="仿宋_GB2312" w:cs="Times New Roman"/>
          <w:sz w:val="32"/>
          <w:szCs w:val="32"/>
        </w:rPr>
        <w:t>注射用</w:t>
      </w:r>
      <w:r>
        <w:rPr>
          <w:rFonts w:ascii="Times New Roman" w:hAnsi="Times New Roman" w:eastAsia="仿宋_GB2312" w:cs="Times New Roman"/>
          <w:sz w:val="32"/>
          <w:szCs w:val="32"/>
        </w:rPr>
        <w:t>葡萄糖酸钙原料药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浙江瑞邦向河北天成药业股份有限公司（以下简称河北天成）销售了大量</w:t>
      </w:r>
      <w:r>
        <w:rPr>
          <w:rFonts w:hint="eastAsia" w:ascii="Times New Roman" w:hAnsi="Times New Roman" w:eastAsia="仿宋_GB2312" w:cs="Times New Roman"/>
          <w:sz w:val="32"/>
          <w:szCs w:val="32"/>
        </w:rPr>
        <w:t>注射用</w:t>
      </w:r>
      <w:r>
        <w:rPr>
          <w:rFonts w:ascii="Times New Roman" w:hAnsi="Times New Roman" w:eastAsia="仿宋_GB2312" w:cs="Times New Roman"/>
          <w:sz w:val="32"/>
          <w:szCs w:val="32"/>
        </w:rPr>
        <w:t>葡萄糖酸钙原料药</w:t>
      </w:r>
      <w:r>
        <w:rPr>
          <w:rFonts w:hint="eastAsia"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本机关研究认为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当事人提出的上述意见不能成立，主要理由是：根据调查掌握的证据，当事人与江西新赣江达成了包销注射用葡萄糖酸钙原料药的口头协议，从浙江瑞邦大量购买了注射用葡萄糖酸钙原料药，与成都倍特达成不对外销售注射用葡萄糖酸钙原料药的书面协议</w:t>
      </w:r>
      <w:r>
        <w:rPr>
          <w:rFonts w:hint="eastAsia" w:ascii="Times New Roman" w:hAnsi="Times New Roman" w:eastAsia="仿宋_GB2312" w:cs="Times New Roman"/>
          <w:sz w:val="32"/>
          <w:szCs w:val="32"/>
        </w:rPr>
        <w:t>，本案垄断行为实施期间，当事人控制了中国</w:t>
      </w:r>
      <w:r>
        <w:rPr>
          <w:rFonts w:ascii="Times New Roman" w:hAnsi="Times New Roman" w:eastAsia="仿宋_GB2312" w:cs="Times New Roman"/>
          <w:sz w:val="32"/>
          <w:szCs w:val="32"/>
        </w:rPr>
        <w:t>注射用葡萄糖酸钙原料药</w:t>
      </w:r>
      <w:r>
        <w:rPr>
          <w:rFonts w:hint="eastAsia" w:ascii="Times New Roman" w:hAnsi="Times New Roman" w:eastAsia="仿宋_GB2312" w:cs="Times New Roman"/>
          <w:sz w:val="32"/>
          <w:szCs w:val="32"/>
        </w:rPr>
        <w:t>销售市场，导致注射用</w:t>
      </w:r>
      <w:r>
        <w:rPr>
          <w:rFonts w:ascii="Times New Roman" w:hAnsi="Times New Roman" w:eastAsia="仿宋_GB2312" w:cs="Times New Roman"/>
          <w:sz w:val="32"/>
          <w:szCs w:val="32"/>
        </w:rPr>
        <w:t>葡萄糖酸钙原料药市场</w:t>
      </w:r>
      <w:r>
        <w:rPr>
          <w:rFonts w:hint="eastAsia" w:ascii="Times New Roman" w:hAnsi="Times New Roman" w:eastAsia="仿宋_GB2312" w:cs="Times New Roman"/>
          <w:sz w:val="32"/>
          <w:szCs w:val="32"/>
        </w:rPr>
        <w:t>供应不充分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当事人的</w:t>
      </w:r>
      <w:r>
        <w:rPr>
          <w:rFonts w:ascii="Times New Roman" w:hAnsi="Times New Roman" w:eastAsia="仿宋_GB2312" w:cs="Times New Roman"/>
          <w:sz w:val="32"/>
          <w:szCs w:val="32"/>
        </w:rPr>
        <w:t>行为严重限制了制剂生产企业正常采购注射用葡萄糖酸钙原料药，制剂生产企业反映近年来市场供应紧张，通过以往途径无法采购到注射用葡萄糖酸钙原料药。</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当事人提出的葡萄糖酸钙原料药生产企业自主销售了大量原料药以及当事人不具有较高的市场份额，与事实不符。</w:t>
      </w:r>
      <w:r>
        <w:rPr>
          <w:rFonts w:ascii="Times New Roman" w:hAnsi="Times New Roman" w:eastAsia="仿宋_GB2312" w:cs="Times New Roman"/>
          <w:sz w:val="32"/>
          <w:szCs w:val="32"/>
        </w:rPr>
        <w:t>经核实，</w:t>
      </w:r>
      <w:r>
        <w:rPr>
          <w:rFonts w:hint="eastAsia" w:ascii="Times New Roman" w:hAnsi="Times New Roman" w:eastAsia="仿宋_GB2312" w:cs="Times New Roman"/>
          <w:sz w:val="32"/>
          <w:szCs w:val="32"/>
        </w:rPr>
        <w:t>江西新赣江向</w:t>
      </w:r>
      <w:r>
        <w:rPr>
          <w:rFonts w:ascii="Times New Roman" w:hAnsi="Times New Roman" w:eastAsia="仿宋_GB2312" w:cs="Times New Roman"/>
          <w:sz w:val="32"/>
          <w:szCs w:val="32"/>
        </w:rPr>
        <w:t>葡萄糖酸钙口服液、葡萄糖酸钙片剂生产企业</w:t>
      </w:r>
      <w:r>
        <w:rPr>
          <w:rFonts w:hint="eastAsia" w:ascii="Times New Roman" w:hAnsi="Times New Roman" w:eastAsia="仿宋_GB2312" w:cs="Times New Roman"/>
          <w:sz w:val="32"/>
          <w:szCs w:val="32"/>
        </w:rPr>
        <w:t>销售的</w:t>
      </w:r>
      <w:r>
        <w:rPr>
          <w:rFonts w:ascii="Times New Roman" w:hAnsi="Times New Roman" w:eastAsia="仿宋_GB2312" w:cs="Times New Roman"/>
          <w:sz w:val="32"/>
          <w:szCs w:val="32"/>
        </w:rPr>
        <w:t>葡萄糖酸钙原料药仅能达到《中华人民共和国药典》溶液澄清度要求，</w:t>
      </w:r>
      <w:r>
        <w:rPr>
          <w:rFonts w:hint="eastAsia" w:ascii="Times New Roman" w:hAnsi="Times New Roman" w:eastAsia="仿宋_GB2312" w:cs="Times New Roman"/>
          <w:sz w:val="32"/>
          <w:szCs w:val="32"/>
        </w:rPr>
        <w:t>不满足内毒素、金属物质含量、微生物限度等指标要求，</w:t>
      </w:r>
      <w:r>
        <w:rPr>
          <w:rFonts w:ascii="Times New Roman" w:hAnsi="Times New Roman" w:eastAsia="仿宋_GB2312" w:cs="Times New Roman"/>
          <w:sz w:val="32"/>
          <w:szCs w:val="32"/>
        </w:rPr>
        <w:t>不能用于生产葡萄糖酸钙注射液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本案涉及</w:t>
      </w:r>
      <w:r>
        <w:rPr>
          <w:rFonts w:ascii="Times New Roman" w:hAnsi="Times New Roman" w:eastAsia="仿宋_GB2312" w:cs="Times New Roman"/>
          <w:sz w:val="32"/>
          <w:szCs w:val="32"/>
        </w:rPr>
        <w:t>注射用葡萄糖酸钙原料药</w:t>
      </w:r>
      <w:r>
        <w:rPr>
          <w:rFonts w:hint="eastAsia" w:ascii="Times New Roman" w:hAnsi="Times New Roman" w:eastAsia="仿宋_GB2312" w:cs="Times New Roman"/>
          <w:sz w:val="32"/>
          <w:szCs w:val="32"/>
        </w:rPr>
        <w:t>销售市场</w:t>
      </w:r>
      <w:r>
        <w:rPr>
          <w:rFonts w:ascii="Times New Roman" w:hAnsi="Times New Roman" w:eastAsia="仿宋_GB2312" w:cs="Times New Roman"/>
          <w:sz w:val="32"/>
          <w:szCs w:val="32"/>
        </w:rPr>
        <w:t>属于不同的相关</w:t>
      </w:r>
      <w:r>
        <w:rPr>
          <w:rFonts w:hint="eastAsia" w:ascii="Times New Roman" w:hAnsi="Times New Roman" w:eastAsia="仿宋_GB2312" w:cs="Times New Roman"/>
          <w:sz w:val="32"/>
          <w:szCs w:val="32"/>
        </w:rPr>
        <w:t>商品</w:t>
      </w:r>
      <w:r>
        <w:rPr>
          <w:rFonts w:ascii="Times New Roman" w:hAnsi="Times New Roman" w:eastAsia="仿宋_GB2312" w:cs="Times New Roman"/>
          <w:sz w:val="32"/>
          <w:szCs w:val="32"/>
        </w:rPr>
        <w:t>市场。</w:t>
      </w:r>
      <w:r>
        <w:rPr>
          <w:rFonts w:hint="eastAsia" w:ascii="Times New Roman" w:hAnsi="Times New Roman" w:eastAsia="仿宋_GB2312" w:cs="Times New Roman"/>
          <w:sz w:val="32"/>
          <w:szCs w:val="32"/>
        </w:rPr>
        <w:t>另经核实，</w:t>
      </w:r>
      <w:r>
        <w:rPr>
          <w:rFonts w:ascii="Times New Roman" w:hAnsi="Times New Roman" w:eastAsia="仿宋_GB2312" w:cs="Times New Roman"/>
          <w:sz w:val="32"/>
          <w:szCs w:val="32"/>
        </w:rPr>
        <w:t>河北天成注射用葡萄糖酸钙原料药由当事人负责供应，生产的葡萄糖酸钙注射液由当事人销售，河北天成</w:t>
      </w:r>
      <w:r>
        <w:rPr>
          <w:rFonts w:hint="eastAsia" w:ascii="Times New Roman" w:hAnsi="Times New Roman" w:eastAsia="仿宋_GB2312" w:cs="Times New Roman"/>
          <w:sz w:val="32"/>
          <w:szCs w:val="32"/>
        </w:rPr>
        <w:t>仅获得</w:t>
      </w:r>
      <w:r>
        <w:rPr>
          <w:rFonts w:ascii="Times New Roman" w:hAnsi="Times New Roman" w:eastAsia="仿宋_GB2312" w:cs="Times New Roman"/>
          <w:sz w:val="32"/>
          <w:szCs w:val="32"/>
        </w:rPr>
        <w:t>固定加工费，2016年河北天成从浙江瑞邦直接采购了注射用葡萄糖酸钙原料药60吨，实际由当事人授意，由浙江瑞邦直接向河北天成供货，该交易实际</w:t>
      </w:r>
      <w:r>
        <w:rPr>
          <w:rFonts w:hint="eastAsia" w:ascii="Times New Roman" w:hAnsi="Times New Roman" w:eastAsia="仿宋_GB2312" w:cs="Times New Roman"/>
          <w:sz w:val="32"/>
          <w:szCs w:val="32"/>
        </w:rPr>
        <w:t>受</w:t>
      </w:r>
      <w:r>
        <w:rPr>
          <w:rFonts w:ascii="Times New Roman" w:hAnsi="Times New Roman" w:eastAsia="仿宋_GB2312" w:cs="Times New Roman"/>
          <w:sz w:val="32"/>
          <w:szCs w:val="32"/>
        </w:rPr>
        <w:t>当事人</w:t>
      </w:r>
      <w:r>
        <w:rPr>
          <w:rFonts w:hint="eastAsia" w:ascii="Times New Roman" w:hAnsi="Times New Roman" w:eastAsia="仿宋_GB2312" w:cs="Times New Roman"/>
          <w:sz w:val="32"/>
          <w:szCs w:val="32"/>
        </w:rPr>
        <w:t>控制。</w:t>
      </w:r>
    </w:p>
    <w:p>
      <w:pPr>
        <w:overflowPunct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（四）当事人实施了滥用市场支配地位行为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2015年8月至2017年12月，当事人滥用</w:t>
      </w:r>
      <w:r>
        <w:rPr>
          <w:rFonts w:hint="eastAsia" w:ascii="Times New Roman" w:hAnsi="Times New Roman" w:eastAsia="仿宋_GB2312" w:cs="Times New Roman"/>
          <w:sz w:val="32"/>
          <w:szCs w:val="32"/>
        </w:rPr>
        <w:t>在中国注射用葡萄糖酸钙原料药销售市场上的</w:t>
      </w:r>
      <w:r>
        <w:rPr>
          <w:rFonts w:ascii="Times New Roman" w:hAnsi="Times New Roman" w:eastAsia="仿宋_GB2312" w:cs="Times New Roman"/>
          <w:sz w:val="32"/>
          <w:szCs w:val="32"/>
        </w:rPr>
        <w:t>支配地位，实施了以不公平的高价销售商品、附加不合理交易条件的行为。</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以不公平的高价销售商品。</w:t>
      </w:r>
      <w:r>
        <w:rPr>
          <w:rFonts w:ascii="Times New Roman" w:hAnsi="Times New Roman" w:eastAsia="仿宋_GB2312" w:cs="Times New Roman"/>
          <w:sz w:val="32"/>
          <w:szCs w:val="32"/>
        </w:rPr>
        <w:t>当事人控制</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注射用葡萄糖酸钙原料药销售市场后，以不公平的高价对外销售注射用葡萄糖酸钙原料药，获得了高额垄断利润。</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一是与购进成本相比，当事人的销售价格明显不公平。当事人从浙江瑞邦和江西新赣江购买注射用葡萄糖酸钙原料药后，以超过成本价数倍的价格对外销售。2017年</w:t>
      </w:r>
      <w:r>
        <w:rPr>
          <w:rFonts w:hint="eastAsia" w:ascii="Times New Roman" w:hAnsi="Times New Roman" w:eastAsia="仿宋_GB2312" w:cs="Times New Roman"/>
          <w:sz w:val="32"/>
          <w:szCs w:val="32"/>
        </w:rPr>
        <w:t>当事人</w:t>
      </w:r>
      <w:r>
        <w:rPr>
          <w:rFonts w:ascii="Times New Roman" w:hAnsi="Times New Roman" w:eastAsia="仿宋_GB2312" w:cs="Times New Roman"/>
          <w:sz w:val="32"/>
          <w:szCs w:val="32"/>
        </w:rPr>
        <w:t>采购注射用葡萄糖酸钙原料药的价格多为80元/公斤左右，</w:t>
      </w:r>
      <w:r>
        <w:rPr>
          <w:rFonts w:hint="eastAsia" w:ascii="Times New Roman" w:hAnsi="Times New Roman" w:eastAsia="仿宋_GB2312" w:cs="Times New Roman"/>
          <w:sz w:val="32"/>
          <w:szCs w:val="32"/>
        </w:rPr>
        <w:t>当事人</w:t>
      </w:r>
      <w:r>
        <w:rPr>
          <w:rFonts w:ascii="Times New Roman" w:hAnsi="Times New Roman" w:eastAsia="仿宋_GB2312" w:cs="Times New Roman"/>
          <w:sz w:val="32"/>
          <w:szCs w:val="32"/>
        </w:rPr>
        <w:t>销售价格多为760-2184元/公斤，提价达</w:t>
      </w:r>
      <w:r>
        <w:rPr>
          <w:rFonts w:ascii="Times New Roman" w:hAnsi="Times New Roman" w:eastAsia="仿宋_GB2312" w:cs="Times New Roman"/>
          <w:sz w:val="32"/>
          <w:szCs w:val="32"/>
          <w:highlight w:val="none"/>
        </w:rPr>
        <w:t>9.5倍至27.3</w:t>
      </w:r>
      <w:r>
        <w:rPr>
          <w:rFonts w:ascii="Times New Roman" w:hAnsi="Times New Roman" w:eastAsia="仿宋_GB2312" w:cs="Times New Roman"/>
          <w:sz w:val="32"/>
          <w:szCs w:val="32"/>
        </w:rPr>
        <w:t>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与历史价格相比，当事人的销售价格明显不公平。2014年注射用葡萄糖酸钙原料药的市场价格为40元/公斤左右。当事人控制销售市场后，以明显不公平的高价向制剂生产企业销售。与2014年相比，2017年注射用葡萄糖酸钙原料药销售价格上涨达19倍至54.6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三是当事人</w:t>
      </w:r>
      <w:r>
        <w:rPr>
          <w:rFonts w:hint="eastAsia" w:ascii="Times New Roman" w:hAnsi="Times New Roman" w:eastAsia="仿宋_GB2312" w:cs="Times New Roman"/>
          <w:sz w:val="32"/>
          <w:szCs w:val="32"/>
        </w:rPr>
        <w:t>内部层层加价以不公平的高价销售原料药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当事人内部分工负责，康惠公司、普云惠公司</w:t>
      </w:r>
      <w:r>
        <w:rPr>
          <w:rFonts w:ascii="Times New Roman" w:hAnsi="Times New Roman" w:eastAsia="仿宋_GB2312" w:cs="Times New Roman"/>
          <w:sz w:val="32"/>
          <w:szCs w:val="32"/>
        </w:rPr>
        <w:t>采购注射用葡萄糖酸钙原料药后，</w:t>
      </w:r>
      <w:r>
        <w:rPr>
          <w:rFonts w:hint="eastAsia" w:ascii="Times New Roman" w:hAnsi="Times New Roman" w:eastAsia="仿宋_GB2312" w:cs="Times New Roman"/>
          <w:sz w:val="32"/>
          <w:szCs w:val="32"/>
        </w:rPr>
        <w:t>由太阳神公司</w:t>
      </w:r>
      <w:r>
        <w:rPr>
          <w:rFonts w:ascii="Times New Roman" w:hAnsi="Times New Roman" w:eastAsia="仿宋_GB2312" w:cs="Times New Roman"/>
          <w:sz w:val="32"/>
          <w:szCs w:val="32"/>
        </w:rPr>
        <w:t>向制剂生产企业销售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通过在当事人内部流转过票的方式，提高销售价格。</w:t>
      </w:r>
      <w:r>
        <w:rPr>
          <w:rFonts w:hint="eastAsia" w:ascii="Times New Roman" w:hAnsi="Times New Roman" w:eastAsia="仿宋_GB2312" w:cs="Times New Roman"/>
          <w:sz w:val="32"/>
          <w:szCs w:val="32"/>
          <w:lang w:eastAsia="zh-CN"/>
        </w:rPr>
        <w:t>例如，</w:t>
      </w:r>
      <w:r>
        <w:rPr>
          <w:rFonts w:ascii="Times New Roman" w:hAnsi="Times New Roman" w:eastAsia="仿宋_GB2312" w:cs="Times New Roman"/>
          <w:sz w:val="32"/>
          <w:szCs w:val="32"/>
        </w:rPr>
        <w:t>2017年2月，康惠公司向上海锦帝九州（安阳）有限公司（以下简称安阳九州）销售注射用葡萄糖酸钙原料药5300公斤，康惠公司要求普云惠公司和太阳神公司分别按流程完成该笔原料药销售，首先普云惠公司开票至太阳神公司，单价是100元/公斤，</w:t>
      </w:r>
      <w:r>
        <w:rPr>
          <w:rFonts w:hint="eastAsia" w:ascii="Times New Roman" w:hAnsi="Times New Roman" w:eastAsia="仿宋_GB2312" w:cs="Times New Roman"/>
          <w:sz w:val="32"/>
          <w:szCs w:val="32"/>
        </w:rPr>
        <w:t>再由</w:t>
      </w:r>
      <w:r>
        <w:rPr>
          <w:rFonts w:ascii="Times New Roman" w:hAnsi="Times New Roman" w:eastAsia="仿宋_GB2312" w:cs="Times New Roman"/>
          <w:sz w:val="32"/>
          <w:szCs w:val="32"/>
        </w:rPr>
        <w:t>太阳神公司开票至安阳九州，单价是760元/公斤，</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当事人内部流转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highlight w:val="none"/>
        </w:rPr>
        <w:t>价格上涨</w:t>
      </w:r>
      <w:r>
        <w:rPr>
          <w:rFonts w:hint="eastAsia" w:ascii="Times New Roman" w:hAnsi="Times New Roman" w:eastAsia="仿宋_GB2312" w:cs="Times New Roman"/>
          <w:sz w:val="32"/>
          <w:szCs w:val="32"/>
          <w:highlight w:val="none"/>
          <w:lang w:eastAsia="zh-CN"/>
        </w:rPr>
        <w:t>达</w:t>
      </w:r>
      <w:r>
        <w:rPr>
          <w:rFonts w:ascii="Times New Roman" w:hAnsi="Times New Roman" w:eastAsia="仿宋_GB2312" w:cs="Times New Roman"/>
          <w:sz w:val="32"/>
          <w:szCs w:val="32"/>
          <w:highlight w:val="none"/>
        </w:rPr>
        <w:t>7.6倍</w:t>
      </w:r>
      <w:r>
        <w:rPr>
          <w:rFonts w:ascii="Times New Roman" w:hAnsi="Times New Roman" w:eastAsia="仿宋_GB2312" w:cs="Times New Roman"/>
          <w:sz w:val="32"/>
          <w:szCs w:val="32"/>
        </w:rPr>
        <w:t>。</w:t>
      </w:r>
    </w:p>
    <w:p>
      <w:pPr>
        <w:overflowPunct w:val="0"/>
        <w:spacing w:line="560" w:lineRule="exact"/>
        <w:ind w:firstLine="643" w:firstLineChars="200"/>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附加不合理交易条件。</w:t>
      </w:r>
      <w:r>
        <w:rPr>
          <w:rFonts w:ascii="Times New Roman" w:hAnsi="Times New Roman" w:eastAsia="仿宋_GB2312" w:cs="Times New Roman"/>
          <w:sz w:val="32"/>
          <w:szCs w:val="32"/>
        </w:rPr>
        <w:t>当事人控制</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注射用葡萄糖酸钙原料药销售市场后，</w:t>
      </w:r>
      <w:r>
        <w:rPr>
          <w:rFonts w:hint="eastAsia" w:ascii="Times New Roman" w:hAnsi="Times New Roman" w:eastAsia="仿宋_GB2312" w:cs="Times New Roman"/>
          <w:sz w:val="32"/>
          <w:szCs w:val="32"/>
        </w:rPr>
        <w:t>强制要求</w:t>
      </w:r>
      <w:r>
        <w:rPr>
          <w:rFonts w:ascii="Times New Roman" w:hAnsi="Times New Roman" w:eastAsia="仿宋_GB2312" w:cs="Times New Roman"/>
          <w:sz w:val="32"/>
          <w:szCs w:val="32"/>
        </w:rPr>
        <w:t>制剂生产企业将生产出的葡萄糖酸钙注射液回购给当事人，或者作为当事人的代工厂，按照当事人的指令销售葡萄糖酸钙注射液，否则不供应注射用葡萄糖酸钙原料药。</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本案垄断行为实施期间，</w:t>
      </w:r>
      <w:r>
        <w:rPr>
          <w:rFonts w:ascii="Times New Roman" w:hAnsi="Times New Roman" w:eastAsia="仿宋_GB2312" w:cs="Times New Roman"/>
          <w:sz w:val="32"/>
          <w:szCs w:val="32"/>
        </w:rPr>
        <w:t>当事人是</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市场上唯一能够稳定供应注射用葡萄糖酸钙原料药的经营者，如果不接受当事人提出的要求，制剂生产企业</w:t>
      </w:r>
      <w:r>
        <w:rPr>
          <w:rFonts w:hint="eastAsia" w:ascii="Times New Roman" w:hAnsi="Times New Roman" w:eastAsia="仿宋_GB2312" w:cs="Times New Roman"/>
          <w:sz w:val="32"/>
          <w:szCs w:val="32"/>
        </w:rPr>
        <w:t>就</w:t>
      </w:r>
      <w:r>
        <w:rPr>
          <w:rFonts w:ascii="Times New Roman" w:hAnsi="Times New Roman" w:eastAsia="仿宋_GB2312" w:cs="Times New Roman"/>
          <w:sz w:val="32"/>
          <w:szCs w:val="32"/>
        </w:rPr>
        <w:t>采购</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到</w:t>
      </w:r>
      <w:r>
        <w:rPr>
          <w:rFonts w:hint="eastAsia" w:ascii="Times New Roman" w:hAnsi="Times New Roman" w:eastAsia="仿宋_GB2312" w:cs="Times New Roman"/>
          <w:sz w:val="32"/>
          <w:szCs w:val="32"/>
        </w:rPr>
        <w:t>注射用葡萄糖酸钙</w:t>
      </w:r>
      <w:r>
        <w:rPr>
          <w:rFonts w:ascii="Times New Roman" w:hAnsi="Times New Roman" w:eastAsia="仿宋_GB2312" w:cs="Times New Roman"/>
          <w:sz w:val="32"/>
          <w:szCs w:val="32"/>
        </w:rPr>
        <w:t>原料药，就会停产断货，无法根据中标要求正常供应葡萄糖酸钙注射液，可能会被招采平台</w:t>
      </w:r>
      <w:r>
        <w:rPr>
          <w:rFonts w:hint="eastAsia" w:ascii="Times New Roman" w:hAnsi="Times New Roman" w:eastAsia="仿宋_GB2312" w:cs="Times New Roman"/>
          <w:sz w:val="32"/>
          <w:szCs w:val="32"/>
        </w:rPr>
        <w:t>纳入</w:t>
      </w:r>
      <w:r>
        <w:rPr>
          <w:rFonts w:ascii="Times New Roman" w:hAnsi="Times New Roman" w:eastAsia="仿宋_GB2312" w:cs="Times New Roman"/>
          <w:sz w:val="32"/>
          <w:szCs w:val="32"/>
        </w:rPr>
        <w:t>“黑名单”，给企业的商誉和品牌造成严重不良影响。因此，葡萄糖酸钙注射液生产企业</w:t>
      </w:r>
      <w:r>
        <w:rPr>
          <w:rFonts w:hint="eastAsia" w:ascii="Times New Roman" w:hAnsi="Times New Roman" w:eastAsia="仿宋_GB2312" w:cs="Times New Roman"/>
          <w:sz w:val="32"/>
          <w:szCs w:val="32"/>
        </w:rPr>
        <w:t>不得不</w:t>
      </w:r>
      <w:r>
        <w:rPr>
          <w:rFonts w:ascii="Times New Roman" w:hAnsi="Times New Roman" w:eastAsia="仿宋_GB2312" w:cs="Times New Roman"/>
          <w:sz w:val="32"/>
          <w:szCs w:val="32"/>
        </w:rPr>
        <w:t>接受当事人提出的不合理要求。</w:t>
      </w:r>
    </w:p>
    <w:p>
      <w:pPr>
        <w:overflowPunct w:val="0"/>
        <w:spacing w:line="56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以上事实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有江西新赣江、浙江瑞邦</w:t>
      </w:r>
      <w:r>
        <w:rPr>
          <w:rFonts w:hint="eastAsia" w:ascii="Times New Roman" w:hAnsi="Times New Roman" w:eastAsia="仿宋_GB2312" w:cs="Times New Roman"/>
          <w:sz w:val="32"/>
          <w:szCs w:val="32"/>
        </w:rPr>
        <w:t>、成都倍特</w:t>
      </w:r>
      <w:r>
        <w:rPr>
          <w:rFonts w:ascii="Times New Roman" w:hAnsi="Times New Roman" w:eastAsia="仿宋_GB2312" w:cs="Times New Roman"/>
          <w:sz w:val="32"/>
          <w:szCs w:val="32"/>
        </w:rPr>
        <w:t>以及当事人的销售明细、销售合同、销售发票、康惠公司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工作对接单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当事人包销的各生产企业数据统计表</w:t>
      </w:r>
      <w:r>
        <w:rPr>
          <w:rFonts w:ascii="Times New Roman" w:hAnsi="Times New Roman" w:eastAsia="仿宋_GB2312" w:cs="Times New Roman"/>
          <w:sz w:val="32"/>
          <w:szCs w:val="32"/>
        </w:rPr>
        <w:t>、普云惠公司人员笔记、普云</w:t>
      </w:r>
      <w:r>
        <w:rPr>
          <w:rFonts w:ascii="Times New Roman" w:hAnsi="Times New Roman" w:eastAsia="仿宋_GB2312" w:cs="Times New Roman"/>
          <w:sz w:val="32"/>
          <w:szCs w:val="32"/>
          <w:highlight w:val="none"/>
        </w:rPr>
        <w:t>惠公司</w:t>
      </w:r>
      <w:r>
        <w:rPr>
          <w:rFonts w:hint="eastAsia" w:ascii="Times New Roman" w:hAnsi="Times New Roman" w:eastAsia="仿宋_GB2312" w:cs="Times New Roman"/>
          <w:sz w:val="32"/>
          <w:szCs w:val="32"/>
          <w:highlight w:val="none"/>
          <w:lang w:eastAsia="zh-CN"/>
        </w:rPr>
        <w:t>会计账簿</w:t>
      </w:r>
      <w:r>
        <w:rPr>
          <w:rFonts w:ascii="Times New Roman" w:hAnsi="Times New Roman" w:eastAsia="仿宋_GB2312" w:cs="Times New Roman"/>
          <w:sz w:val="32"/>
          <w:szCs w:val="32"/>
          <w:highlight w:val="none"/>
        </w:rPr>
        <w:t>、调查询</w:t>
      </w:r>
      <w:r>
        <w:rPr>
          <w:rFonts w:ascii="Times New Roman" w:hAnsi="Times New Roman" w:eastAsia="仿宋_GB2312" w:cs="Times New Roman"/>
          <w:sz w:val="32"/>
          <w:szCs w:val="32"/>
        </w:rPr>
        <w:t>问笔录等证据为证。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针对上述事实和证据，当事人主要提出了三</w:t>
      </w:r>
      <w:r>
        <w:rPr>
          <w:rFonts w:hint="eastAsia" w:ascii="Times New Roman" w:hAnsi="Times New Roman" w:eastAsia="仿宋_GB2312" w:cs="Times New Roman"/>
          <w:sz w:val="32"/>
          <w:szCs w:val="32"/>
        </w:rPr>
        <w:t>方面</w:t>
      </w:r>
      <w:r>
        <w:rPr>
          <w:rFonts w:ascii="Times New Roman" w:hAnsi="Times New Roman" w:eastAsia="仿宋_GB2312" w:cs="Times New Roman"/>
          <w:sz w:val="32"/>
          <w:szCs w:val="32"/>
        </w:rPr>
        <w:t>意见：一是与葡萄糖酸钙注射液生产企业的合作建立在平等互利的基础上。制剂生产企业主动选择</w:t>
      </w:r>
      <w:r>
        <w:rPr>
          <w:rFonts w:hint="eastAsia" w:ascii="Times New Roman" w:hAnsi="Times New Roman" w:eastAsia="仿宋_GB2312" w:cs="Times New Roman"/>
          <w:sz w:val="32"/>
          <w:szCs w:val="32"/>
        </w:rPr>
        <w:t>当事人作为</w:t>
      </w:r>
      <w:r>
        <w:rPr>
          <w:rFonts w:ascii="Times New Roman" w:hAnsi="Times New Roman" w:eastAsia="仿宋_GB2312" w:cs="Times New Roman"/>
          <w:sz w:val="32"/>
          <w:szCs w:val="32"/>
        </w:rPr>
        <w:t>葡萄糖酸钙注射液的分销商，符合市场</w:t>
      </w:r>
      <w:r>
        <w:rPr>
          <w:rFonts w:hint="eastAsia" w:ascii="Times New Roman" w:hAnsi="Times New Roman" w:eastAsia="仿宋_GB2312" w:cs="Times New Roman"/>
          <w:sz w:val="32"/>
          <w:szCs w:val="32"/>
        </w:rPr>
        <w:t>经济</w:t>
      </w:r>
      <w:r>
        <w:rPr>
          <w:rFonts w:ascii="Times New Roman" w:hAnsi="Times New Roman" w:eastAsia="仿宋_GB2312" w:cs="Times New Roman"/>
          <w:sz w:val="32"/>
          <w:szCs w:val="32"/>
        </w:rPr>
        <w:t>规则，是行业通行做法；二是</w:t>
      </w:r>
      <w:r>
        <w:rPr>
          <w:rFonts w:hint="eastAsia" w:ascii="Times New Roman" w:hAnsi="Times New Roman" w:eastAsia="仿宋_GB2312" w:cs="Times New Roman"/>
          <w:sz w:val="32"/>
          <w:szCs w:val="32"/>
        </w:rPr>
        <w:t>不少</w:t>
      </w:r>
      <w:r>
        <w:rPr>
          <w:rFonts w:ascii="Times New Roman" w:hAnsi="Times New Roman" w:eastAsia="仿宋_GB2312" w:cs="Times New Roman"/>
          <w:sz w:val="32"/>
          <w:szCs w:val="32"/>
        </w:rPr>
        <w:t>制剂生产企业自主销售葡萄糖酸钙注射液，销售价格通过招投标确定，当事人没有回购全部制剂；三是康惠公司在2015年下半年就停止了注射用葡萄糖酸钙原料药的采购活动。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本机关研究认为，当事人提出的上述意见不能成立，主要</w:t>
      </w:r>
      <w:r>
        <w:rPr>
          <w:rFonts w:hint="eastAsia" w:ascii="Times New Roman" w:hAnsi="Times New Roman" w:eastAsia="仿宋_GB2312" w:cs="Times New Roman"/>
          <w:sz w:val="32"/>
          <w:szCs w:val="32"/>
          <w:lang w:eastAsia="zh-CN"/>
        </w:rPr>
        <w:t>有三个方面的理由</w:t>
      </w:r>
      <w:r>
        <w:rPr>
          <w:rFonts w:ascii="Times New Roman" w:hAnsi="Times New Roman" w:eastAsia="仿宋_GB2312" w:cs="Times New Roman"/>
          <w:sz w:val="32"/>
          <w:szCs w:val="32"/>
        </w:rPr>
        <w:t>：</w:t>
      </w:r>
    </w:p>
    <w:p>
      <w:pPr>
        <w:overflowPunct w:val="0"/>
        <w:spacing w:line="560" w:lineRule="exact"/>
        <w:ind w:firstLine="640" w:firstLineChars="200"/>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bCs/>
          <w:sz w:val="32"/>
          <w:szCs w:val="32"/>
        </w:rPr>
        <w:t>一是</w:t>
      </w:r>
      <w:r>
        <w:rPr>
          <w:rFonts w:ascii="Times New Roman" w:hAnsi="Times New Roman" w:eastAsia="仿宋_GB2312" w:cs="Times New Roman"/>
          <w:sz w:val="32"/>
          <w:szCs w:val="32"/>
        </w:rPr>
        <w:t>制剂生产企业并非主动选择当事人作为分销商。</w:t>
      </w:r>
      <w:r>
        <w:rPr>
          <w:rFonts w:hint="eastAsia" w:ascii="Times New Roman" w:hAnsi="Times New Roman" w:eastAsia="仿宋_GB2312" w:cs="Times New Roman"/>
          <w:sz w:val="32"/>
          <w:szCs w:val="32"/>
        </w:rPr>
        <w:t>葡萄糖酸钙注射液</w:t>
      </w:r>
      <w:r>
        <w:rPr>
          <w:rFonts w:ascii="Times New Roman" w:hAnsi="Times New Roman" w:eastAsia="仿宋_GB2312" w:cs="Times New Roman"/>
          <w:sz w:val="32"/>
          <w:szCs w:val="32"/>
        </w:rPr>
        <w:t>生产企业反映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注射用葡萄糖酸钙原料药</w:t>
      </w:r>
      <w:r>
        <w:rPr>
          <w:rFonts w:hint="eastAsia" w:ascii="Times New Roman" w:hAnsi="Times New Roman" w:eastAsia="仿宋_GB2312" w:cs="Times New Roman"/>
          <w:sz w:val="32"/>
          <w:szCs w:val="32"/>
        </w:rPr>
        <w:t>市场</w:t>
      </w:r>
      <w:r>
        <w:rPr>
          <w:rFonts w:ascii="Times New Roman" w:hAnsi="Times New Roman" w:eastAsia="仿宋_GB2312" w:cs="Times New Roman"/>
          <w:sz w:val="32"/>
          <w:szCs w:val="32"/>
        </w:rPr>
        <w:t>供应紧张时，当事人主动提出开展合作，并表示愿意供应原料药，但要回购制剂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制剂生产企业提出可否只采购原料药，当事人表示不同意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rPr>
        <w:t>证据表明，当事人回购制剂的行为不是建立在</w:t>
      </w:r>
      <w:r>
        <w:rPr>
          <w:rFonts w:hint="eastAsia" w:ascii="Times New Roman" w:hAnsi="Times New Roman" w:eastAsia="仿宋_GB2312" w:cs="Times New Roman"/>
          <w:sz w:val="32"/>
          <w:szCs w:val="32"/>
        </w:rPr>
        <w:t>与葡萄糖酸钙注射液生产企业</w:t>
      </w:r>
      <w:r>
        <w:rPr>
          <w:rFonts w:ascii="Times New Roman" w:hAnsi="Times New Roman" w:eastAsia="仿宋_GB2312" w:cs="Times New Roman"/>
          <w:sz w:val="32"/>
          <w:szCs w:val="32"/>
        </w:rPr>
        <w:t>平等协商的基础上，而是当事人利用</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注射用葡萄糖酸钙</w:t>
      </w:r>
      <w:r>
        <w:rPr>
          <w:rFonts w:ascii="Times New Roman" w:hAnsi="Times New Roman" w:eastAsia="仿宋_GB2312" w:cs="Times New Roman"/>
          <w:sz w:val="32"/>
          <w:szCs w:val="32"/>
        </w:rPr>
        <w:t>原料药销售市场上的支配地位提出的</w:t>
      </w:r>
      <w:r>
        <w:rPr>
          <w:rFonts w:hint="eastAsia" w:ascii="Times New Roman" w:hAnsi="Times New Roman" w:eastAsia="仿宋_GB2312" w:cs="Times New Roman"/>
          <w:sz w:val="32"/>
          <w:szCs w:val="32"/>
          <w:lang w:eastAsia="zh-CN"/>
        </w:rPr>
        <w:t>不合理</w:t>
      </w:r>
      <w:r>
        <w:rPr>
          <w:rFonts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实质上</w:t>
      </w:r>
      <w:r>
        <w:rPr>
          <w:rFonts w:ascii="Times New Roman" w:hAnsi="Times New Roman" w:eastAsia="仿宋_GB2312" w:cs="Times New Roman"/>
          <w:sz w:val="32"/>
          <w:szCs w:val="32"/>
        </w:rPr>
        <w:t>具有强制性。</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二是</w:t>
      </w:r>
      <w:r>
        <w:rPr>
          <w:rFonts w:ascii="Times New Roman" w:hAnsi="Times New Roman" w:eastAsia="仿宋_GB2312" w:cs="Times New Roman"/>
          <w:sz w:val="32"/>
          <w:szCs w:val="32"/>
        </w:rPr>
        <w:t>制剂生产企业并非自主销售葡萄糖酸钙注射液。</w:t>
      </w:r>
      <w:r>
        <w:rPr>
          <w:rFonts w:hint="eastAsia" w:ascii="Times New Roman" w:hAnsi="Times New Roman" w:eastAsia="仿宋_GB2312" w:cs="Times New Roman"/>
          <w:sz w:val="32"/>
          <w:szCs w:val="32"/>
        </w:rPr>
        <w:t>有些</w:t>
      </w:r>
      <w:r>
        <w:rPr>
          <w:rFonts w:ascii="Times New Roman" w:hAnsi="Times New Roman" w:eastAsia="仿宋_GB2312" w:cs="Times New Roman"/>
          <w:sz w:val="32"/>
          <w:szCs w:val="32"/>
        </w:rPr>
        <w:t>制剂生产企业向医药配送公司直接销售了葡萄糖酸钙注射液，</w:t>
      </w:r>
      <w:r>
        <w:rPr>
          <w:rFonts w:hint="eastAsia" w:ascii="Times New Roman" w:hAnsi="Times New Roman" w:eastAsia="仿宋_GB2312" w:cs="Times New Roman"/>
          <w:sz w:val="32"/>
          <w:szCs w:val="32"/>
        </w:rPr>
        <w:t>经核实，销售对象和销售价格也均由当事人确定。</w:t>
      </w:r>
      <w:r>
        <w:rPr>
          <w:rFonts w:ascii="Times New Roman" w:hAnsi="Times New Roman" w:eastAsia="仿宋_GB2312" w:cs="Times New Roman"/>
          <w:sz w:val="32"/>
          <w:szCs w:val="32"/>
        </w:rPr>
        <w:t>证据表明，经当事人指</w:t>
      </w:r>
      <w:r>
        <w:rPr>
          <w:rFonts w:hint="eastAsia" w:ascii="Times New Roman" w:hAnsi="Times New Roman" w:eastAsia="仿宋_GB2312" w:cs="Times New Roman"/>
          <w:sz w:val="32"/>
          <w:szCs w:val="32"/>
        </w:rPr>
        <w:t>令</w:t>
      </w:r>
      <w:r>
        <w:rPr>
          <w:rFonts w:ascii="Times New Roman" w:hAnsi="Times New Roman" w:eastAsia="仿宋_GB2312" w:cs="Times New Roman"/>
          <w:sz w:val="32"/>
          <w:szCs w:val="32"/>
        </w:rPr>
        <w:t>后，制剂生产企业</w:t>
      </w:r>
      <w:r>
        <w:rPr>
          <w:rFonts w:hint="eastAsia" w:ascii="Times New Roman" w:hAnsi="Times New Roman" w:eastAsia="仿宋_GB2312" w:cs="Times New Roman"/>
          <w:sz w:val="32"/>
          <w:szCs w:val="32"/>
        </w:rPr>
        <w:t>直接</w:t>
      </w:r>
      <w:r>
        <w:rPr>
          <w:rFonts w:ascii="Times New Roman" w:hAnsi="Times New Roman" w:eastAsia="仿宋_GB2312" w:cs="Times New Roman"/>
          <w:sz w:val="32"/>
          <w:szCs w:val="32"/>
        </w:rPr>
        <w:t>向医药配送公司供货，该部分交易依然受当事人控制。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三是</w:t>
      </w:r>
      <w:r>
        <w:rPr>
          <w:rFonts w:ascii="Times New Roman" w:hAnsi="Times New Roman" w:eastAsia="仿宋_GB2312" w:cs="Times New Roman"/>
          <w:sz w:val="32"/>
          <w:szCs w:val="32"/>
        </w:rPr>
        <w:t>康惠公司2015年下半年并未停止注射用葡萄糖酸钙原料药的采购。证据表明，本案垄断行为实施期间，</w:t>
      </w:r>
      <w:r>
        <w:rPr>
          <w:rFonts w:hint="eastAsia" w:ascii="Times New Roman" w:hAnsi="Times New Roman" w:eastAsia="仿宋_GB2312" w:cs="Times New Roman"/>
          <w:sz w:val="32"/>
          <w:szCs w:val="32"/>
        </w:rPr>
        <w:t>为了</w:t>
      </w:r>
      <w:r>
        <w:rPr>
          <w:rFonts w:hint="eastAsia" w:ascii="Times New Roman" w:hAnsi="Times New Roman" w:eastAsia="仿宋_GB2312" w:cs="Times New Roman"/>
          <w:sz w:val="32"/>
          <w:szCs w:val="32"/>
          <w:lang w:eastAsia="zh-CN"/>
        </w:rPr>
        <w:t>规避</w:t>
      </w:r>
      <w:r>
        <w:rPr>
          <w:rFonts w:hint="eastAsia" w:ascii="Times New Roman" w:hAnsi="Times New Roman" w:eastAsia="仿宋_GB2312" w:cs="Times New Roman"/>
          <w:sz w:val="32"/>
          <w:szCs w:val="32"/>
        </w:rPr>
        <w:t>反垄断调查，从</w:t>
      </w:r>
      <w:r>
        <w:rPr>
          <w:rFonts w:ascii="Times New Roman" w:hAnsi="Times New Roman" w:eastAsia="仿宋_GB2312" w:cs="Times New Roman"/>
          <w:sz w:val="32"/>
          <w:szCs w:val="32"/>
        </w:rPr>
        <w:t>2015年下半年开始，康惠公司逐步将注射用葡萄糖酸钙原料药</w:t>
      </w:r>
      <w:r>
        <w:rPr>
          <w:rFonts w:hint="eastAsia" w:ascii="Times New Roman" w:hAnsi="Times New Roman" w:eastAsia="仿宋_GB2312" w:cs="Times New Roman"/>
          <w:sz w:val="32"/>
          <w:szCs w:val="32"/>
        </w:rPr>
        <w:t>等产品</w:t>
      </w:r>
      <w:r>
        <w:rPr>
          <w:rFonts w:ascii="Times New Roman" w:hAnsi="Times New Roman" w:eastAsia="仿宋_GB2312" w:cs="Times New Roman"/>
          <w:sz w:val="32"/>
          <w:szCs w:val="32"/>
        </w:rPr>
        <w:t>业务转移至普云惠公司和太阳神公司，普云惠公司和太阳神公司按照康惠公司的指</w:t>
      </w:r>
      <w:r>
        <w:rPr>
          <w:rFonts w:hint="eastAsia" w:ascii="Times New Roman" w:hAnsi="Times New Roman" w:eastAsia="仿宋_GB2312" w:cs="Times New Roman"/>
          <w:sz w:val="32"/>
          <w:szCs w:val="32"/>
        </w:rPr>
        <w:t>令</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注射用葡萄糖酸钙原料药</w:t>
      </w:r>
      <w:r>
        <w:rPr>
          <w:rFonts w:ascii="Times New Roman" w:hAnsi="Times New Roman" w:eastAsia="仿宋_GB2312" w:cs="Times New Roman"/>
          <w:sz w:val="32"/>
          <w:szCs w:val="32"/>
        </w:rPr>
        <w:t>经营，康惠公司并未停止</w:t>
      </w:r>
      <w:r>
        <w:rPr>
          <w:rFonts w:hint="eastAsia" w:ascii="Times New Roman" w:hAnsi="Times New Roman" w:eastAsia="仿宋_GB2312" w:cs="Times New Roman"/>
          <w:sz w:val="32"/>
          <w:szCs w:val="32"/>
        </w:rPr>
        <w:t>注射用葡萄糖酸钙原料药</w:t>
      </w:r>
      <w:r>
        <w:rPr>
          <w:rFonts w:ascii="Times New Roman" w:hAnsi="Times New Roman" w:eastAsia="仿宋_GB2312" w:cs="Times New Roman"/>
          <w:sz w:val="32"/>
          <w:szCs w:val="32"/>
        </w:rPr>
        <w:t>业务。</w:t>
      </w:r>
    </w:p>
    <w:p>
      <w:pPr>
        <w:tabs>
          <w:tab w:val="center" w:pos="4473"/>
        </w:tabs>
        <w:overflowPunct w:val="0"/>
        <w:spacing w:line="560" w:lineRule="exact"/>
        <w:ind w:firstLine="643" w:firstLineChars="200"/>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rPr>
        <w:t>（五）当事人的行为排除、限制了市场竞争，损害</w:t>
      </w:r>
      <w:r>
        <w:rPr>
          <w:rFonts w:ascii="Times New Roman" w:hAnsi="Times New Roman" w:eastAsia="楷体_GB2312" w:cs="Times New Roman"/>
          <w:b/>
          <w:bCs/>
          <w:sz w:val="32"/>
          <w:szCs w:val="32"/>
          <w:highlight w:val="none"/>
        </w:rPr>
        <w:t>了葡萄糖酸钙注射液生产企业</w:t>
      </w:r>
      <w:r>
        <w:rPr>
          <w:rFonts w:hint="eastAsia" w:ascii="Times New Roman" w:hAnsi="Times New Roman" w:eastAsia="楷体_GB2312" w:cs="Times New Roman"/>
          <w:b/>
          <w:bCs/>
          <w:sz w:val="32"/>
          <w:szCs w:val="32"/>
          <w:highlight w:val="none"/>
        </w:rPr>
        <w:t>和</w:t>
      </w:r>
      <w:r>
        <w:rPr>
          <w:rFonts w:hint="eastAsia" w:ascii="Times New Roman" w:hAnsi="Times New Roman" w:eastAsia="楷体_GB2312" w:cs="Times New Roman"/>
          <w:b/>
          <w:bCs/>
          <w:sz w:val="32"/>
          <w:szCs w:val="32"/>
          <w:highlight w:val="none"/>
          <w:lang w:eastAsia="zh-CN"/>
        </w:rPr>
        <w:t>患者</w:t>
      </w:r>
      <w:r>
        <w:rPr>
          <w:rFonts w:ascii="Times New Roman" w:hAnsi="Times New Roman" w:eastAsia="楷体_GB2312" w:cs="Times New Roman"/>
          <w:b/>
          <w:bCs/>
          <w:sz w:val="32"/>
          <w:szCs w:val="32"/>
          <w:highlight w:val="none"/>
        </w:rPr>
        <w:t>利益</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排除、限制了市场的竞争。</w:t>
      </w:r>
      <w:r>
        <w:rPr>
          <w:rFonts w:ascii="Times New Roman" w:hAnsi="Times New Roman" w:eastAsia="仿宋_GB2312" w:cs="Times New Roman"/>
          <w:sz w:val="32"/>
          <w:szCs w:val="32"/>
        </w:rPr>
        <w:t>当事人通过多种方式控制注射用葡萄糖酸钙原料药销售市场后，统一</w:t>
      </w:r>
      <w:r>
        <w:rPr>
          <w:rFonts w:hint="eastAsia" w:ascii="Times New Roman" w:hAnsi="Times New Roman" w:eastAsia="仿宋_GB2312" w:cs="Times New Roman"/>
          <w:sz w:val="32"/>
          <w:szCs w:val="32"/>
        </w:rPr>
        <w:t>高价</w:t>
      </w:r>
      <w:r>
        <w:rPr>
          <w:rFonts w:ascii="Times New Roman" w:hAnsi="Times New Roman" w:eastAsia="仿宋_GB2312" w:cs="Times New Roman"/>
          <w:sz w:val="32"/>
          <w:szCs w:val="32"/>
        </w:rPr>
        <w:t>对外销售，排除</w:t>
      </w:r>
      <w:r>
        <w:rPr>
          <w:rFonts w:hint="eastAsia" w:ascii="Times New Roman" w:hAnsi="Times New Roman" w:eastAsia="仿宋_GB2312" w:cs="Times New Roman"/>
          <w:sz w:val="32"/>
          <w:szCs w:val="32"/>
        </w:rPr>
        <w:t>、限制</w:t>
      </w:r>
      <w:r>
        <w:rPr>
          <w:rFonts w:ascii="Times New Roman" w:hAnsi="Times New Roman" w:eastAsia="仿宋_GB2312" w:cs="Times New Roman"/>
          <w:sz w:val="32"/>
          <w:szCs w:val="32"/>
        </w:rPr>
        <w:t>了</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注射用葡萄糖酸钙原料药销售市场的竞争。当事人</w:t>
      </w:r>
      <w:r>
        <w:rPr>
          <w:rFonts w:hint="eastAsia" w:ascii="Times New Roman" w:hAnsi="Times New Roman" w:eastAsia="仿宋_GB2312" w:cs="Times New Roman"/>
          <w:sz w:val="32"/>
          <w:szCs w:val="32"/>
        </w:rPr>
        <w:t>强制要求</w:t>
      </w:r>
      <w:r>
        <w:rPr>
          <w:rFonts w:ascii="Times New Roman" w:hAnsi="Times New Roman" w:eastAsia="仿宋_GB2312" w:cs="Times New Roman"/>
          <w:sz w:val="32"/>
          <w:szCs w:val="32"/>
        </w:rPr>
        <w:t>制剂生产企业将葡萄糖酸钙注射液回购给当事人或者</w:t>
      </w:r>
      <w:r>
        <w:rPr>
          <w:rFonts w:hint="eastAsia" w:ascii="Times New Roman" w:hAnsi="Times New Roman" w:eastAsia="仿宋_GB2312" w:cs="Times New Roman"/>
          <w:sz w:val="32"/>
          <w:szCs w:val="32"/>
          <w:lang w:eastAsia="zh-CN"/>
        </w:rPr>
        <w:t>其</w:t>
      </w:r>
      <w:r>
        <w:rPr>
          <w:rFonts w:ascii="Times New Roman" w:hAnsi="Times New Roman" w:eastAsia="仿宋_GB2312" w:cs="Times New Roman"/>
          <w:sz w:val="32"/>
          <w:szCs w:val="32"/>
        </w:rPr>
        <w:t>指定的其他公司，由当事人负责销售，</w:t>
      </w:r>
      <w:r>
        <w:rPr>
          <w:rFonts w:hint="eastAsia" w:ascii="Times New Roman" w:hAnsi="Times New Roman" w:eastAsia="仿宋_GB2312" w:cs="Times New Roman"/>
          <w:sz w:val="32"/>
          <w:szCs w:val="32"/>
        </w:rPr>
        <w:t>排除、限制了</w:t>
      </w:r>
      <w:r>
        <w:rPr>
          <w:rFonts w:ascii="Times New Roman" w:hAnsi="Times New Roman" w:eastAsia="仿宋_GB2312" w:cs="Times New Roman"/>
          <w:sz w:val="32"/>
          <w:szCs w:val="32"/>
        </w:rPr>
        <w:t>葡萄糖酸钙注射液市场</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竞争。</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损害了葡萄糖酸钙注射液生产企业的利益。</w:t>
      </w:r>
      <w:r>
        <w:rPr>
          <w:rFonts w:ascii="Times New Roman" w:hAnsi="Times New Roman" w:eastAsia="仿宋_GB2312" w:cs="Times New Roman"/>
          <w:sz w:val="32"/>
          <w:szCs w:val="32"/>
        </w:rPr>
        <w:t>葡萄糖酸钙注射液</w:t>
      </w:r>
      <w:r>
        <w:rPr>
          <w:rFonts w:hint="eastAsia" w:ascii="Times New Roman" w:hAnsi="Times New Roman" w:eastAsia="仿宋_GB2312" w:cs="Times New Roman"/>
          <w:sz w:val="32"/>
          <w:szCs w:val="32"/>
        </w:rPr>
        <w:t>生产企业</w:t>
      </w:r>
      <w:r>
        <w:rPr>
          <w:rFonts w:ascii="Times New Roman" w:hAnsi="Times New Roman" w:eastAsia="仿宋_GB2312" w:cs="Times New Roman"/>
          <w:sz w:val="32"/>
          <w:szCs w:val="32"/>
        </w:rPr>
        <w:t>为了避免中标后不能正常供应葡萄糖酸钙注射液而被招采平台纳入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不得不</w:t>
      </w:r>
      <w:r>
        <w:rPr>
          <w:rFonts w:ascii="Times New Roman" w:hAnsi="Times New Roman" w:eastAsia="仿宋_GB2312" w:cs="Times New Roman"/>
          <w:sz w:val="32"/>
          <w:szCs w:val="32"/>
        </w:rPr>
        <w:t>接受当事人</w:t>
      </w:r>
      <w:r>
        <w:rPr>
          <w:rFonts w:hint="eastAsia" w:ascii="Times New Roman" w:hAnsi="Times New Roman" w:eastAsia="仿宋_GB2312" w:cs="Times New Roman"/>
          <w:sz w:val="32"/>
          <w:szCs w:val="32"/>
        </w:rPr>
        <w:t>提出</w:t>
      </w:r>
      <w:r>
        <w:rPr>
          <w:rFonts w:ascii="Times New Roman" w:hAnsi="Times New Roman" w:eastAsia="仿宋_GB2312" w:cs="Times New Roman"/>
          <w:sz w:val="32"/>
          <w:szCs w:val="32"/>
        </w:rPr>
        <w:t>的不合理要求，高价购买原料药并将葡萄糖酸钙注射液交由当事人销售，自主经营权受到侵害。当事人以不公平的高价销售原料药，</w:t>
      </w:r>
      <w:r>
        <w:rPr>
          <w:rFonts w:hint="eastAsia" w:ascii="Times New Roman" w:hAnsi="Times New Roman" w:eastAsia="仿宋_GB2312" w:cs="Times New Roman"/>
          <w:sz w:val="32"/>
          <w:szCs w:val="32"/>
        </w:rPr>
        <w:t>造成注射用葡萄糖酸钙原料药市场价格上涨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损害了制剂生产企业的利益。</w:t>
      </w:r>
    </w:p>
    <w:p>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3.</w:t>
      </w:r>
      <w:r>
        <w:rPr>
          <w:rFonts w:hint="eastAsia" w:ascii="Times New Roman" w:hAnsi="Times New Roman" w:eastAsia="仿宋_GB2312" w:cs="Times New Roman"/>
          <w:b/>
          <w:sz w:val="32"/>
          <w:szCs w:val="32"/>
          <w:lang w:val="en-US" w:eastAsia="zh-CN"/>
        </w:rPr>
        <w:t xml:space="preserve"> </w:t>
      </w:r>
      <w:r>
        <w:rPr>
          <w:rFonts w:ascii="Times New Roman" w:hAnsi="Times New Roman" w:eastAsia="仿宋_GB2312" w:cs="Times New Roman"/>
          <w:b/>
          <w:sz w:val="32"/>
          <w:szCs w:val="32"/>
        </w:rPr>
        <w:t>推高了葡萄糖酸钙注射液的市场价格，增加了国家医保支出，损害了患者的利益。</w:t>
      </w:r>
      <w:r>
        <w:rPr>
          <w:rFonts w:ascii="Times New Roman" w:hAnsi="Times New Roman" w:eastAsia="仿宋_GB2312" w:cs="Times New Roman"/>
          <w:sz w:val="32"/>
          <w:szCs w:val="32"/>
        </w:rPr>
        <w:t>葡萄糖酸钙注射液是国家基本药物、临床必需药品，是常用的低价药。当事人控制</w:t>
      </w:r>
      <w:r>
        <w:rPr>
          <w:rFonts w:hint="eastAsia" w:ascii="Times New Roman" w:hAnsi="Times New Roman" w:eastAsia="仿宋_GB2312" w:cs="Times New Roman"/>
          <w:sz w:val="32"/>
          <w:szCs w:val="32"/>
        </w:rPr>
        <w:t>注射用葡萄糖酸钙原料药</w:t>
      </w:r>
      <w:r>
        <w:rPr>
          <w:rFonts w:ascii="Times New Roman" w:hAnsi="Times New Roman" w:eastAsia="仿宋_GB2312" w:cs="Times New Roman"/>
          <w:sz w:val="32"/>
          <w:szCs w:val="32"/>
        </w:rPr>
        <w:t>销售市场后大幅提价，提高了</w:t>
      </w:r>
      <w:r>
        <w:rPr>
          <w:rFonts w:hint="eastAsia" w:ascii="Times New Roman" w:hAnsi="Times New Roman" w:eastAsia="仿宋_GB2312" w:cs="Times New Roman"/>
          <w:sz w:val="32"/>
          <w:szCs w:val="32"/>
        </w:rPr>
        <w:t>葡萄糖酸钙</w:t>
      </w:r>
      <w:r>
        <w:rPr>
          <w:rFonts w:ascii="Times New Roman" w:hAnsi="Times New Roman" w:eastAsia="仿宋_GB2312" w:cs="Times New Roman"/>
          <w:sz w:val="32"/>
          <w:szCs w:val="32"/>
        </w:rPr>
        <w:t>注射液生产成本。当事人</w:t>
      </w:r>
      <w:r>
        <w:rPr>
          <w:rFonts w:hint="eastAsia" w:ascii="Times New Roman" w:hAnsi="Times New Roman" w:eastAsia="仿宋_GB2312" w:cs="Times New Roman"/>
          <w:sz w:val="32"/>
          <w:szCs w:val="32"/>
        </w:rPr>
        <w:t>强制</w:t>
      </w:r>
      <w:r>
        <w:rPr>
          <w:rFonts w:ascii="Times New Roman" w:hAnsi="Times New Roman" w:eastAsia="仿宋_GB2312" w:cs="Times New Roman"/>
          <w:sz w:val="32"/>
          <w:szCs w:val="32"/>
        </w:rPr>
        <w:t>要求制剂生产企业将葡萄糖酸钙注射液交由</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销售，</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控制</w:t>
      </w:r>
      <w:r>
        <w:rPr>
          <w:rFonts w:hint="eastAsia" w:ascii="Times New Roman" w:hAnsi="Times New Roman" w:eastAsia="仿宋_GB2312" w:cs="Times New Roman"/>
          <w:sz w:val="32"/>
          <w:szCs w:val="32"/>
        </w:rPr>
        <w:t>了中国</w:t>
      </w:r>
      <w:r>
        <w:rPr>
          <w:rFonts w:ascii="Times New Roman" w:hAnsi="Times New Roman" w:eastAsia="仿宋_GB2312" w:cs="Times New Roman"/>
          <w:sz w:val="32"/>
          <w:szCs w:val="32"/>
        </w:rPr>
        <w:t>葡萄糖酸钙注射液市场，造成</w:t>
      </w:r>
      <w:r>
        <w:rPr>
          <w:rFonts w:hint="eastAsia" w:ascii="Times New Roman" w:hAnsi="Times New Roman" w:eastAsia="仿宋_GB2312" w:cs="Times New Roman"/>
          <w:sz w:val="32"/>
          <w:szCs w:val="32"/>
        </w:rPr>
        <w:t>葡萄糖酸钙</w:t>
      </w:r>
      <w:r>
        <w:rPr>
          <w:rFonts w:ascii="Times New Roman" w:hAnsi="Times New Roman" w:eastAsia="仿宋_GB2312" w:cs="Times New Roman"/>
          <w:sz w:val="32"/>
          <w:szCs w:val="32"/>
        </w:rPr>
        <w:t>注射液价格</w:t>
      </w:r>
      <w:r>
        <w:rPr>
          <w:rFonts w:hint="eastAsia" w:ascii="Times New Roman" w:hAnsi="Times New Roman" w:eastAsia="仿宋_GB2312" w:cs="Times New Roman"/>
          <w:sz w:val="32"/>
          <w:szCs w:val="32"/>
        </w:rPr>
        <w:t>明显</w:t>
      </w:r>
      <w:r>
        <w:rPr>
          <w:rFonts w:ascii="Times New Roman" w:hAnsi="Times New Roman" w:eastAsia="仿宋_GB2312" w:cs="Times New Roman"/>
          <w:sz w:val="32"/>
          <w:szCs w:val="32"/>
        </w:rPr>
        <w:t>上涨，国家医保支出</w:t>
      </w:r>
      <w:r>
        <w:rPr>
          <w:rFonts w:hint="eastAsia" w:ascii="Times New Roman" w:hAnsi="Times New Roman" w:eastAsia="仿宋_GB2312" w:cs="Times New Roman"/>
          <w:sz w:val="32"/>
          <w:szCs w:val="32"/>
        </w:rPr>
        <w:t>明显</w:t>
      </w:r>
      <w:r>
        <w:rPr>
          <w:rFonts w:ascii="Times New Roman" w:hAnsi="Times New Roman" w:eastAsia="仿宋_GB2312" w:cs="Times New Roman"/>
          <w:sz w:val="32"/>
          <w:szCs w:val="32"/>
        </w:rPr>
        <w:t>增加。当事人的行为推高了市场价格，造成葡萄糖酸钙注射液市场供应紧张，有些省份将其列入短缺药品清单，患者不能正常用药，利益受到严重损害。</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四、行政处罚依据和决定</w:t>
      </w:r>
    </w:p>
    <w:p>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本机关认定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当事人的行为违反</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《反垄断法》第十七条第一款第（一）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（五）项规定，</w:t>
      </w:r>
      <w:r>
        <w:rPr>
          <w:rFonts w:ascii="Times New Roman" w:hAnsi="Times New Roman" w:eastAsia="仿宋_GB2312" w:cs="Times New Roman"/>
          <w:color w:val="000000"/>
          <w:sz w:val="32"/>
          <w:szCs w:val="32"/>
        </w:rPr>
        <w:t>构成滥用市场支配地位行为。</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核实，康惠公司、普云惠公司、太阳神公司作为实施垄断行为的共同主体，形式上存在互相销售行为，扣除相互之间销售额后，康惠公司2018年销售额为14.38亿元；普云惠公司2018年销售额为5.37亿元；太阳神公司2018年销售额为1.78亿元。</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根据《反垄断法》第四十七条、第四十九条规定，考虑到当事人的行为情节严重、性质恶劣</w:t>
      </w:r>
      <w:r>
        <w:rPr>
          <w:rFonts w:hint="eastAsia" w:ascii="Times New Roman" w:hAnsi="Times New Roman" w:eastAsia="仿宋_GB2312" w:cs="Times New Roman"/>
          <w:sz w:val="32"/>
          <w:szCs w:val="32"/>
        </w:rPr>
        <w:t>、持续时间较长</w:t>
      </w:r>
      <w:r>
        <w:rPr>
          <w:rFonts w:ascii="Times New Roman" w:hAnsi="Times New Roman" w:eastAsia="仿宋_GB2312" w:cs="Times New Roman"/>
          <w:sz w:val="32"/>
          <w:szCs w:val="32"/>
        </w:rPr>
        <w:t>，排除、限制了相关市场的竞争，严重损害了制剂生产企业和患者的利益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康惠公司在垄断行为实施过程中起主导作用，普云惠公司起次要作用，太阳神公司起辅助作用</w:t>
      </w:r>
      <w:r>
        <w:rPr>
          <w:rFonts w:hint="eastAsia" w:ascii="Times New Roman" w:hAnsi="Times New Roman" w:eastAsia="仿宋_GB2312" w:cs="Times New Roman"/>
          <w:sz w:val="32"/>
          <w:szCs w:val="32"/>
        </w:rPr>
        <w:t>等因素，</w:t>
      </w:r>
      <w:r>
        <w:rPr>
          <w:rFonts w:ascii="Times New Roman" w:hAnsi="Times New Roman" w:eastAsia="仿宋_GB2312" w:cs="Times New Roman"/>
          <w:sz w:val="32"/>
          <w:szCs w:val="32"/>
        </w:rPr>
        <w:t>本机关</w:t>
      </w:r>
      <w:r>
        <w:rPr>
          <w:rFonts w:hint="eastAsia" w:ascii="Times New Roman" w:hAnsi="Times New Roman" w:eastAsia="仿宋_GB2312" w:cs="Times New Roman"/>
          <w:sz w:val="32"/>
          <w:szCs w:val="32"/>
        </w:rPr>
        <w:t>决定对当事人</w:t>
      </w:r>
      <w:r>
        <w:rPr>
          <w:rFonts w:ascii="Times New Roman" w:hAnsi="Times New Roman" w:eastAsia="仿宋_GB2312" w:cs="Times New Roman"/>
          <w:sz w:val="32"/>
          <w:szCs w:val="32"/>
        </w:rPr>
        <w:t>作出</w:t>
      </w:r>
      <w:r>
        <w:rPr>
          <w:rFonts w:hint="eastAsia" w:ascii="Times New Roman" w:hAnsi="Times New Roman" w:eastAsia="仿宋_GB2312" w:cs="Times New Roman"/>
          <w:sz w:val="32"/>
          <w:szCs w:val="32"/>
        </w:rPr>
        <w:t>如下</w:t>
      </w:r>
      <w:r>
        <w:rPr>
          <w:rFonts w:ascii="Times New Roman" w:hAnsi="Times New Roman" w:eastAsia="仿宋_GB2312" w:cs="Times New Roman"/>
          <w:sz w:val="32"/>
          <w:szCs w:val="32"/>
        </w:rPr>
        <w:t>处理：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w:t>
      </w:r>
      <w:r>
        <w:rPr>
          <w:rFonts w:hint="eastAsia" w:ascii="Times New Roman" w:hAnsi="Times New Roman" w:eastAsia="仿宋_GB2312" w:cs="Times New Roman"/>
          <w:sz w:val="32"/>
          <w:szCs w:val="32"/>
        </w:rPr>
        <w:t>山东</w:t>
      </w:r>
      <w:r>
        <w:rPr>
          <w:rFonts w:ascii="Times New Roman" w:hAnsi="Times New Roman" w:eastAsia="仿宋_GB2312" w:cs="Times New Roman"/>
          <w:sz w:val="32"/>
          <w:szCs w:val="32"/>
        </w:rPr>
        <w:t>康惠</w:t>
      </w:r>
      <w:r>
        <w:rPr>
          <w:rFonts w:hint="eastAsia" w:ascii="Times New Roman" w:hAnsi="Times New Roman" w:eastAsia="仿宋_GB2312" w:cs="Times New Roman"/>
          <w:sz w:val="32"/>
          <w:szCs w:val="32"/>
        </w:rPr>
        <w:t>医药有限</w:t>
      </w:r>
      <w:r>
        <w:rPr>
          <w:rFonts w:ascii="Times New Roman" w:hAnsi="Times New Roman" w:eastAsia="仿宋_GB2312" w:cs="Times New Roman"/>
          <w:sz w:val="32"/>
          <w:szCs w:val="32"/>
        </w:rPr>
        <w:t>公司没收违法所得1.089亿元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rPr>
        <w:t>处2018年销售额10%的罚款，计1.438亿元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合计2.527亿元（大写：人民币贰亿伍仟贰佰柒拾万元整）</w:t>
      </w:r>
      <w:r>
        <w:rPr>
          <w:rFonts w:hint="eastAsia"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w:t>
      </w:r>
      <w:r>
        <w:rPr>
          <w:rFonts w:hint="eastAsia" w:ascii="Times New Roman" w:hAnsi="Times New Roman" w:eastAsia="仿宋_GB2312" w:cs="Times New Roman"/>
          <w:sz w:val="32"/>
          <w:szCs w:val="32"/>
        </w:rPr>
        <w:t>潍坊</w:t>
      </w:r>
      <w:r>
        <w:rPr>
          <w:rFonts w:ascii="Times New Roman" w:hAnsi="Times New Roman" w:eastAsia="仿宋_GB2312" w:cs="Times New Roman"/>
          <w:sz w:val="32"/>
          <w:szCs w:val="32"/>
        </w:rPr>
        <w:t>普云惠</w:t>
      </w:r>
      <w:r>
        <w:rPr>
          <w:rFonts w:hint="eastAsia" w:ascii="Times New Roman" w:hAnsi="Times New Roman" w:eastAsia="仿宋_GB2312" w:cs="Times New Roman"/>
          <w:sz w:val="32"/>
          <w:szCs w:val="32"/>
        </w:rPr>
        <w:t>医药有限</w:t>
      </w:r>
      <w:r>
        <w:rPr>
          <w:rFonts w:ascii="Times New Roman" w:hAnsi="Times New Roman" w:eastAsia="仿宋_GB2312" w:cs="Times New Roman"/>
          <w:sz w:val="32"/>
          <w:szCs w:val="32"/>
        </w:rPr>
        <w:t>公司没收违法所得605万元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rPr>
        <w:t>处2018年销售额9%的罚款，计4830万元；合计5435万元（大写：人民币伍仟肆佰叁拾伍万元整）</w:t>
      </w:r>
      <w:r>
        <w:rPr>
          <w:rFonts w:hint="eastAsia"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对潍坊</w:t>
      </w:r>
      <w:r>
        <w:rPr>
          <w:rFonts w:ascii="Times New Roman" w:hAnsi="Times New Roman" w:eastAsia="仿宋_GB2312" w:cs="Times New Roman"/>
          <w:sz w:val="32"/>
          <w:szCs w:val="32"/>
        </w:rPr>
        <w:t>太阳神</w:t>
      </w:r>
      <w:r>
        <w:rPr>
          <w:rFonts w:hint="eastAsia" w:ascii="Times New Roman" w:hAnsi="Times New Roman" w:eastAsia="仿宋_GB2312" w:cs="Times New Roman"/>
          <w:sz w:val="32"/>
          <w:szCs w:val="32"/>
        </w:rPr>
        <w:t>医药有限</w:t>
      </w:r>
      <w:r>
        <w:rPr>
          <w:rFonts w:ascii="Times New Roman" w:hAnsi="Times New Roman" w:eastAsia="仿宋_GB2312" w:cs="Times New Roman"/>
          <w:sz w:val="32"/>
          <w:szCs w:val="32"/>
        </w:rPr>
        <w:t>公司没收违法所得605万元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rPr>
        <w:t>处2018年销售额7%的罚款，计1240万元；合计1845万元（大写：人民币壹仟捌佰肆拾伍万元整）</w:t>
      </w:r>
      <w:r>
        <w:rPr>
          <w:rFonts w:hint="eastAsia"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中华人民共和国</w:t>
      </w:r>
      <w:r>
        <w:rPr>
          <w:rFonts w:ascii="Times New Roman" w:hAnsi="Times New Roman" w:eastAsia="仿宋_GB2312" w:cs="Times New Roman"/>
          <w:sz w:val="32"/>
          <w:szCs w:val="32"/>
        </w:rPr>
        <w:t>行政处罚法》第四十六条规定，</w:t>
      </w:r>
      <w:r>
        <w:rPr>
          <w:rFonts w:hint="eastAsia" w:ascii="Times New Roman" w:hAnsi="Times New Roman" w:eastAsia="仿宋_GB2312" w:cs="Times New Roman"/>
          <w:sz w:val="32"/>
          <w:szCs w:val="32"/>
        </w:rPr>
        <w:t>当事人</w:t>
      </w:r>
      <w:r>
        <w:rPr>
          <w:rFonts w:ascii="Times New Roman" w:hAnsi="Times New Roman" w:eastAsia="仿宋_GB2312" w:cs="Times New Roman"/>
          <w:sz w:val="32"/>
          <w:szCs w:val="32"/>
        </w:rPr>
        <w:t>应当自收到本行政处罚决定书之日起十五日内，根据本行政处罚决定书，携缴款码到12家中央财政非税收入收缴代理银行（工、农、中、建、交、中信、光大、招商、邮储、华夏、平安、兴业）任一银行网点或者网上银行</w:t>
      </w:r>
      <w:r>
        <w:rPr>
          <w:rFonts w:hint="eastAsia" w:ascii="仿宋_GB2312" w:eastAsia="仿宋_GB2312"/>
          <w:sz w:val="32"/>
          <w:szCs w:val="32"/>
        </w:rPr>
        <w:t>交纳</w:t>
      </w:r>
      <w:r>
        <w:rPr>
          <w:rFonts w:ascii="Times New Roman" w:hAnsi="Times New Roman" w:eastAsia="仿宋_GB2312" w:cs="Times New Roman"/>
          <w:sz w:val="32"/>
          <w:szCs w:val="32"/>
        </w:rPr>
        <w:t>罚款。</w:t>
      </w:r>
      <w:r>
        <w:rPr>
          <w:rFonts w:hint="eastAsia" w:ascii="Times New Roman" w:hAnsi="Times New Roman" w:eastAsia="仿宋_GB2312" w:cs="Times New Roman"/>
          <w:sz w:val="32"/>
          <w:szCs w:val="32"/>
        </w:rPr>
        <w:t>康惠公司缴款码为：</w:t>
      </w:r>
      <w:r>
        <w:rPr>
          <w:rFonts w:hint="eastAsia" w:ascii="仿宋_GB2312" w:eastAsia="仿宋_GB2312" w:cs="方正仿宋_GBK"/>
          <w:color w:val="000000"/>
          <w:sz w:val="32"/>
          <w:szCs w:val="32"/>
        </w:rPr>
        <w:t>***</w:t>
      </w:r>
      <w:r>
        <w:rPr>
          <w:rFonts w:hint="eastAsia" w:ascii="Times New Roman" w:hAnsi="Times New Roman" w:eastAsia="仿宋_GB2312" w:cs="Times New Roman"/>
          <w:sz w:val="32"/>
          <w:szCs w:val="32"/>
        </w:rPr>
        <w:t>；普云惠公司缴款码为：</w:t>
      </w:r>
      <w:r>
        <w:rPr>
          <w:rFonts w:hint="eastAsia" w:ascii="仿宋_GB2312" w:eastAsia="仿宋_GB2312" w:cs="方正仿宋_GBK"/>
          <w:color w:val="000000"/>
          <w:sz w:val="32"/>
          <w:szCs w:val="32"/>
        </w:rPr>
        <w:t>***</w:t>
      </w:r>
      <w:r>
        <w:rPr>
          <w:rFonts w:hint="eastAsia" w:ascii="Times New Roman" w:hAnsi="Times New Roman" w:eastAsia="仿宋_GB2312" w:cs="Times New Roman"/>
          <w:sz w:val="32"/>
          <w:szCs w:val="32"/>
        </w:rPr>
        <w:t>；太阳神公司缴款码为：</w:t>
      </w:r>
      <w:r>
        <w:rPr>
          <w:rFonts w:hint="eastAsia" w:ascii="仿宋_GB2312" w:eastAsia="仿宋_GB2312" w:cs="方正仿宋_GBK"/>
          <w:color w:val="000000"/>
          <w:sz w:val="32"/>
          <w:szCs w:val="32"/>
        </w:rPr>
        <w:t>***</w:t>
      </w:r>
      <w:r>
        <w:rPr>
          <w:rFonts w:hint="eastAsia" w:ascii="Times New Roman" w:hAnsi="Times New Roman" w:eastAsia="仿宋_GB2312" w:cs="Times New Roman"/>
          <w:sz w:val="32"/>
          <w:szCs w:val="32"/>
        </w:rPr>
        <w:t>。</w:t>
      </w:r>
    </w:p>
    <w:p>
      <w:pPr>
        <w:overflowPunct w:val="0"/>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中华人民共和国</w:t>
      </w:r>
      <w:r>
        <w:rPr>
          <w:rFonts w:ascii="Times New Roman" w:hAnsi="Times New Roman" w:eastAsia="仿宋_GB2312" w:cs="Times New Roman"/>
          <w:sz w:val="32"/>
          <w:szCs w:val="32"/>
        </w:rPr>
        <w:t>行政处罚法》</w:t>
      </w:r>
      <w:r>
        <w:rPr>
          <w:rFonts w:hint="eastAsia" w:ascii="仿宋_GB2312" w:eastAsia="仿宋_GB2312"/>
          <w:sz w:val="32"/>
          <w:szCs w:val="32"/>
        </w:rPr>
        <w:t>第五十一条规定，当事人逾期不履行行政处罚决定的，本机关</w:t>
      </w:r>
      <w:r>
        <w:rPr>
          <w:rFonts w:hint="eastAsia" w:ascii="仿宋_GB2312" w:eastAsia="仿宋_GB2312"/>
          <w:sz w:val="32"/>
          <w:szCs w:val="32"/>
          <w:lang w:eastAsia="zh-CN"/>
        </w:rPr>
        <w:t>可以</w:t>
      </w:r>
      <w:r>
        <w:rPr>
          <w:rFonts w:hint="eastAsia" w:ascii="仿宋_GB2312" w:eastAsia="仿宋_GB2312"/>
          <w:sz w:val="32"/>
          <w:szCs w:val="32"/>
        </w:rPr>
        <w:t>采取以下措施：（一）到期不缴纳罚款的，每日按罚款数额的百分之三加处罚款；（二）申请人民法院强制执行。</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当事人</w:t>
      </w:r>
      <w:r>
        <w:rPr>
          <w:rFonts w:ascii="Times New Roman" w:hAnsi="Times New Roman" w:eastAsia="仿宋_GB2312" w:cs="Times New Roman"/>
          <w:sz w:val="32"/>
          <w:szCs w:val="32"/>
        </w:rPr>
        <w:t>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w:t>
      </w:r>
    </w:p>
    <w:p>
      <w:pPr>
        <w:overflowPunct w:val="0"/>
        <w:spacing w:line="560" w:lineRule="exact"/>
        <w:ind w:firstLine="640" w:firstLineChars="200"/>
        <w:rPr>
          <w:rFonts w:ascii="Times New Roman" w:hAnsi="Times New Roman" w:eastAsia="仿宋_GB2312" w:cs="Times New Roman"/>
          <w:sz w:val="32"/>
          <w:szCs w:val="32"/>
        </w:rPr>
      </w:pPr>
    </w:p>
    <w:p>
      <w:pPr>
        <w:spacing w:line="560" w:lineRule="exact"/>
        <w:ind w:right="1280" w:firstLine="4800" w:firstLineChars="1500"/>
        <w:rPr>
          <w:rFonts w:ascii="仿宋_GB2312" w:eastAsia="仿宋_GB2312"/>
          <w:sz w:val="32"/>
          <w:szCs w:val="32"/>
        </w:rPr>
      </w:pPr>
    </w:p>
    <w:p>
      <w:pPr>
        <w:spacing w:line="560" w:lineRule="exact"/>
        <w:ind w:right="1280" w:firstLine="4800" w:firstLineChars="1500"/>
        <w:rPr>
          <w:rFonts w:ascii="仿宋_GB2312" w:eastAsia="仿宋_GB2312"/>
          <w:sz w:val="32"/>
          <w:szCs w:val="32"/>
        </w:rPr>
      </w:pPr>
      <w:r>
        <w:rPr>
          <w:rFonts w:hint="eastAsia" w:ascii="仿宋_GB2312" w:eastAsia="仿宋_GB2312"/>
          <w:sz w:val="32"/>
          <w:szCs w:val="32"/>
        </w:rPr>
        <w:t xml:space="preserve">市场监管总局                  </w:t>
      </w:r>
    </w:p>
    <w:p>
      <w:pPr>
        <w:adjustRightInd w:val="0"/>
        <w:snapToGrid w:val="0"/>
        <w:spacing w:before="120" w:line="560" w:lineRule="exact"/>
        <w:jc w:val="left"/>
        <w:rPr>
          <w:rFonts w:ascii="Times New Roman" w:hAnsi="Times New Roman" w:cs="Times New Roman"/>
        </w:rPr>
      </w:pPr>
      <w:r>
        <w:rPr>
          <w:rFonts w:hint="eastAsia" w:ascii="仿宋_GB2312" w:eastAsia="仿宋_GB2312"/>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2020年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p>
    <w:p>
      <w:pPr>
        <w:overflowPunct w:val="0"/>
        <w:spacing w:line="560" w:lineRule="exact"/>
        <w:ind w:firstLine="640" w:firstLineChars="200"/>
        <w:rPr>
          <w:rFonts w:ascii="Times New Roman" w:hAnsi="Times New Roman" w:eastAsia="仿宋_GB2312" w:cs="Times New Roman"/>
          <w:sz w:val="32"/>
          <w:szCs w:val="32"/>
        </w:rPr>
      </w:pPr>
    </w:p>
    <w:p>
      <w:pPr>
        <w:overflowPunct w:val="0"/>
        <w:spacing w:line="560" w:lineRule="exact"/>
        <w:rPr>
          <w:rFonts w:hint="eastAsia" w:ascii="Times New Roman" w:hAnsi="Times New Roman" w:eastAsia="仿宋_GB2312" w:cs="Times New Roman"/>
          <w:sz w:val="32"/>
          <w:szCs w:val="32"/>
          <w:lang w:eastAsia="zh-CN"/>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10" w:leftChars="100" w:firstLine="140" w:firstLineChars="50"/>
      <w:rPr>
        <w:rFonts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 PAGE  \* Arabic </w:instrText>
    </w:r>
    <w:r>
      <w:rPr>
        <w:rStyle w:val="12"/>
        <w:rFonts w:ascii="宋体" w:hAnsi="宋体"/>
        <w:sz w:val="28"/>
        <w:szCs w:val="28"/>
      </w:rPr>
      <w:fldChar w:fldCharType="separate"/>
    </w:r>
    <w:r>
      <w:rPr>
        <w:rStyle w:val="12"/>
        <w:rFonts w:ascii="宋体" w:hAnsi="宋体"/>
        <w:sz w:val="28"/>
        <w:szCs w:val="28"/>
      </w:rPr>
      <w:t>2</w:t>
    </w:r>
    <w:r>
      <w:rPr>
        <w:rStyle w:val="12"/>
        <w:rFonts w:ascii="宋体" w:hAnsi="宋体"/>
        <w:sz w:val="28"/>
        <w:szCs w:val="28"/>
      </w:rPr>
      <w:fldChar w:fldCharType="end"/>
    </w:r>
    <w:r>
      <w:rPr>
        <w:rStyle w:val="12"/>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7593B"/>
    <w:multiLevelType w:val="singleLevel"/>
    <w:tmpl w:val="4647593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48"/>
    <w:rsid w:val="000066D6"/>
    <w:rsid w:val="000071EB"/>
    <w:rsid w:val="00011BE1"/>
    <w:rsid w:val="000157A9"/>
    <w:rsid w:val="00023499"/>
    <w:rsid w:val="00023B2A"/>
    <w:rsid w:val="00023FC8"/>
    <w:rsid w:val="000255E4"/>
    <w:rsid w:val="00026972"/>
    <w:rsid w:val="000325BD"/>
    <w:rsid w:val="00040CBC"/>
    <w:rsid w:val="00042D10"/>
    <w:rsid w:val="0004473C"/>
    <w:rsid w:val="00047036"/>
    <w:rsid w:val="00055EFE"/>
    <w:rsid w:val="000568AD"/>
    <w:rsid w:val="00062ED1"/>
    <w:rsid w:val="00063AEC"/>
    <w:rsid w:val="00063BA0"/>
    <w:rsid w:val="000677A3"/>
    <w:rsid w:val="00075611"/>
    <w:rsid w:val="00077A4F"/>
    <w:rsid w:val="00084339"/>
    <w:rsid w:val="00084365"/>
    <w:rsid w:val="00084B47"/>
    <w:rsid w:val="00085E4B"/>
    <w:rsid w:val="000862DD"/>
    <w:rsid w:val="000869EB"/>
    <w:rsid w:val="00086D1E"/>
    <w:rsid w:val="000878B4"/>
    <w:rsid w:val="0009480E"/>
    <w:rsid w:val="00095547"/>
    <w:rsid w:val="000A69E1"/>
    <w:rsid w:val="000A6B37"/>
    <w:rsid w:val="000B2850"/>
    <w:rsid w:val="000B33C4"/>
    <w:rsid w:val="000C7034"/>
    <w:rsid w:val="000C74F4"/>
    <w:rsid w:val="000D34AB"/>
    <w:rsid w:val="000E1B20"/>
    <w:rsid w:val="000E3B61"/>
    <w:rsid w:val="000E6A70"/>
    <w:rsid w:val="00116923"/>
    <w:rsid w:val="001176AE"/>
    <w:rsid w:val="001250ED"/>
    <w:rsid w:val="00125275"/>
    <w:rsid w:val="00126283"/>
    <w:rsid w:val="0012686F"/>
    <w:rsid w:val="00142AFC"/>
    <w:rsid w:val="001470F7"/>
    <w:rsid w:val="00154246"/>
    <w:rsid w:val="00155A94"/>
    <w:rsid w:val="001568E8"/>
    <w:rsid w:val="00160C1B"/>
    <w:rsid w:val="00161AD1"/>
    <w:rsid w:val="00165F88"/>
    <w:rsid w:val="0017222D"/>
    <w:rsid w:val="001747A2"/>
    <w:rsid w:val="0017557E"/>
    <w:rsid w:val="00176983"/>
    <w:rsid w:val="00177182"/>
    <w:rsid w:val="00180102"/>
    <w:rsid w:val="00183438"/>
    <w:rsid w:val="0018476E"/>
    <w:rsid w:val="001902AD"/>
    <w:rsid w:val="0019159D"/>
    <w:rsid w:val="00195C75"/>
    <w:rsid w:val="00197036"/>
    <w:rsid w:val="001A39E3"/>
    <w:rsid w:val="001A7C6F"/>
    <w:rsid w:val="001B2072"/>
    <w:rsid w:val="001C5D31"/>
    <w:rsid w:val="001C5E51"/>
    <w:rsid w:val="001C5FB6"/>
    <w:rsid w:val="001D2989"/>
    <w:rsid w:val="001D6445"/>
    <w:rsid w:val="001D73F0"/>
    <w:rsid w:val="001E330B"/>
    <w:rsid w:val="001F088E"/>
    <w:rsid w:val="001F0D93"/>
    <w:rsid w:val="00200B62"/>
    <w:rsid w:val="00201F12"/>
    <w:rsid w:val="00202BA8"/>
    <w:rsid w:val="00202D5F"/>
    <w:rsid w:val="002076A1"/>
    <w:rsid w:val="00210668"/>
    <w:rsid w:val="002112D5"/>
    <w:rsid w:val="00217681"/>
    <w:rsid w:val="002232F1"/>
    <w:rsid w:val="002234DE"/>
    <w:rsid w:val="00226C12"/>
    <w:rsid w:val="0022751E"/>
    <w:rsid w:val="00243812"/>
    <w:rsid w:val="002477CF"/>
    <w:rsid w:val="0025187B"/>
    <w:rsid w:val="00257E95"/>
    <w:rsid w:val="0026301A"/>
    <w:rsid w:val="002651EA"/>
    <w:rsid w:val="00273864"/>
    <w:rsid w:val="00274EC4"/>
    <w:rsid w:val="002838E0"/>
    <w:rsid w:val="002925EA"/>
    <w:rsid w:val="002B2594"/>
    <w:rsid w:val="002C0F77"/>
    <w:rsid w:val="002C4A14"/>
    <w:rsid w:val="002D76C2"/>
    <w:rsid w:val="002F3255"/>
    <w:rsid w:val="002F5AC8"/>
    <w:rsid w:val="00300504"/>
    <w:rsid w:val="00301198"/>
    <w:rsid w:val="00303548"/>
    <w:rsid w:val="003101C5"/>
    <w:rsid w:val="00316D02"/>
    <w:rsid w:val="00316F72"/>
    <w:rsid w:val="003170CA"/>
    <w:rsid w:val="00317BCE"/>
    <w:rsid w:val="003216BE"/>
    <w:rsid w:val="00321AE6"/>
    <w:rsid w:val="0032343C"/>
    <w:rsid w:val="003244A7"/>
    <w:rsid w:val="00327A27"/>
    <w:rsid w:val="00332612"/>
    <w:rsid w:val="00336466"/>
    <w:rsid w:val="003378FD"/>
    <w:rsid w:val="00343302"/>
    <w:rsid w:val="00344A2F"/>
    <w:rsid w:val="003478F4"/>
    <w:rsid w:val="003513D9"/>
    <w:rsid w:val="00351CD0"/>
    <w:rsid w:val="00351D73"/>
    <w:rsid w:val="00352539"/>
    <w:rsid w:val="00354293"/>
    <w:rsid w:val="00360D65"/>
    <w:rsid w:val="00363EA7"/>
    <w:rsid w:val="00365F4B"/>
    <w:rsid w:val="00366FBA"/>
    <w:rsid w:val="00371AD5"/>
    <w:rsid w:val="00373908"/>
    <w:rsid w:val="003828A9"/>
    <w:rsid w:val="00385452"/>
    <w:rsid w:val="00387C2C"/>
    <w:rsid w:val="00393DF5"/>
    <w:rsid w:val="00394F67"/>
    <w:rsid w:val="00395C9D"/>
    <w:rsid w:val="003A1CFC"/>
    <w:rsid w:val="003A1E66"/>
    <w:rsid w:val="003A24D2"/>
    <w:rsid w:val="003A58A8"/>
    <w:rsid w:val="003B1E13"/>
    <w:rsid w:val="003C6A23"/>
    <w:rsid w:val="003C6B9C"/>
    <w:rsid w:val="003D1C01"/>
    <w:rsid w:val="003D50C9"/>
    <w:rsid w:val="003E3D58"/>
    <w:rsid w:val="003E556B"/>
    <w:rsid w:val="003F1900"/>
    <w:rsid w:val="003F375B"/>
    <w:rsid w:val="003F6D7C"/>
    <w:rsid w:val="00401A75"/>
    <w:rsid w:val="00402DC8"/>
    <w:rsid w:val="00413D11"/>
    <w:rsid w:val="00414567"/>
    <w:rsid w:val="004225E6"/>
    <w:rsid w:val="00422C1F"/>
    <w:rsid w:val="00431459"/>
    <w:rsid w:val="004405EF"/>
    <w:rsid w:val="00442D4B"/>
    <w:rsid w:val="004432A6"/>
    <w:rsid w:val="0044686B"/>
    <w:rsid w:val="00447368"/>
    <w:rsid w:val="00457014"/>
    <w:rsid w:val="00464AD4"/>
    <w:rsid w:val="00467580"/>
    <w:rsid w:val="00472930"/>
    <w:rsid w:val="00494234"/>
    <w:rsid w:val="00497E77"/>
    <w:rsid w:val="00497ED9"/>
    <w:rsid w:val="004C12E0"/>
    <w:rsid w:val="004C340B"/>
    <w:rsid w:val="004C35CF"/>
    <w:rsid w:val="004C3F51"/>
    <w:rsid w:val="004C5CE9"/>
    <w:rsid w:val="004C624D"/>
    <w:rsid w:val="004D1BC6"/>
    <w:rsid w:val="004D478F"/>
    <w:rsid w:val="004D74CD"/>
    <w:rsid w:val="004D7E84"/>
    <w:rsid w:val="004E1503"/>
    <w:rsid w:val="004E1B62"/>
    <w:rsid w:val="004E6A80"/>
    <w:rsid w:val="004F0172"/>
    <w:rsid w:val="004F0D41"/>
    <w:rsid w:val="004F31C3"/>
    <w:rsid w:val="004F3EE2"/>
    <w:rsid w:val="004F6259"/>
    <w:rsid w:val="004F6785"/>
    <w:rsid w:val="004F6819"/>
    <w:rsid w:val="00500E48"/>
    <w:rsid w:val="00502F5B"/>
    <w:rsid w:val="005039E0"/>
    <w:rsid w:val="00505A4D"/>
    <w:rsid w:val="00506136"/>
    <w:rsid w:val="00510B4C"/>
    <w:rsid w:val="00510DD6"/>
    <w:rsid w:val="0051723D"/>
    <w:rsid w:val="005200A7"/>
    <w:rsid w:val="00523805"/>
    <w:rsid w:val="00524BFA"/>
    <w:rsid w:val="00526608"/>
    <w:rsid w:val="00526CF7"/>
    <w:rsid w:val="00527BD7"/>
    <w:rsid w:val="00530197"/>
    <w:rsid w:val="005310EF"/>
    <w:rsid w:val="00535825"/>
    <w:rsid w:val="00535893"/>
    <w:rsid w:val="005373E9"/>
    <w:rsid w:val="00537E63"/>
    <w:rsid w:val="00540ED1"/>
    <w:rsid w:val="0054541A"/>
    <w:rsid w:val="00547DB0"/>
    <w:rsid w:val="00551F1D"/>
    <w:rsid w:val="00555064"/>
    <w:rsid w:val="005563A4"/>
    <w:rsid w:val="00561E45"/>
    <w:rsid w:val="0056365B"/>
    <w:rsid w:val="0056415F"/>
    <w:rsid w:val="00575AD1"/>
    <w:rsid w:val="00577D98"/>
    <w:rsid w:val="00581161"/>
    <w:rsid w:val="00585697"/>
    <w:rsid w:val="005907BE"/>
    <w:rsid w:val="00591604"/>
    <w:rsid w:val="005A1B91"/>
    <w:rsid w:val="005A1BD1"/>
    <w:rsid w:val="005A788D"/>
    <w:rsid w:val="005B2B3E"/>
    <w:rsid w:val="005C0060"/>
    <w:rsid w:val="005C097F"/>
    <w:rsid w:val="005C2138"/>
    <w:rsid w:val="005C57F5"/>
    <w:rsid w:val="005D18CE"/>
    <w:rsid w:val="005D6360"/>
    <w:rsid w:val="005D76F9"/>
    <w:rsid w:val="005E27C9"/>
    <w:rsid w:val="005E3ED2"/>
    <w:rsid w:val="005E4E33"/>
    <w:rsid w:val="005E7FF5"/>
    <w:rsid w:val="005F015A"/>
    <w:rsid w:val="00603181"/>
    <w:rsid w:val="00603FDC"/>
    <w:rsid w:val="006127B6"/>
    <w:rsid w:val="00613626"/>
    <w:rsid w:val="006146EF"/>
    <w:rsid w:val="0061478F"/>
    <w:rsid w:val="00620A91"/>
    <w:rsid w:val="0062278D"/>
    <w:rsid w:val="00623C18"/>
    <w:rsid w:val="0062540B"/>
    <w:rsid w:val="0063672F"/>
    <w:rsid w:val="00641DE3"/>
    <w:rsid w:val="00644DAD"/>
    <w:rsid w:val="00646ADD"/>
    <w:rsid w:val="0065035F"/>
    <w:rsid w:val="0065206B"/>
    <w:rsid w:val="00657727"/>
    <w:rsid w:val="00657A88"/>
    <w:rsid w:val="00664A4A"/>
    <w:rsid w:val="0066644A"/>
    <w:rsid w:val="00670C97"/>
    <w:rsid w:val="00671084"/>
    <w:rsid w:val="00672F80"/>
    <w:rsid w:val="00673FB3"/>
    <w:rsid w:val="006744F5"/>
    <w:rsid w:val="00674719"/>
    <w:rsid w:val="00680BFA"/>
    <w:rsid w:val="006832E2"/>
    <w:rsid w:val="00686269"/>
    <w:rsid w:val="006867BC"/>
    <w:rsid w:val="006873F9"/>
    <w:rsid w:val="00693C1C"/>
    <w:rsid w:val="00695535"/>
    <w:rsid w:val="006A0D51"/>
    <w:rsid w:val="006B0919"/>
    <w:rsid w:val="006B2E47"/>
    <w:rsid w:val="006B354E"/>
    <w:rsid w:val="006B700A"/>
    <w:rsid w:val="006C0318"/>
    <w:rsid w:val="006C46C8"/>
    <w:rsid w:val="006D1090"/>
    <w:rsid w:val="006D6D1C"/>
    <w:rsid w:val="006D7C52"/>
    <w:rsid w:val="006E2294"/>
    <w:rsid w:val="006F2081"/>
    <w:rsid w:val="006F2543"/>
    <w:rsid w:val="006F617C"/>
    <w:rsid w:val="006F7979"/>
    <w:rsid w:val="00704615"/>
    <w:rsid w:val="00710066"/>
    <w:rsid w:val="00715F13"/>
    <w:rsid w:val="007161A8"/>
    <w:rsid w:val="007203B6"/>
    <w:rsid w:val="00723518"/>
    <w:rsid w:val="00726A30"/>
    <w:rsid w:val="0073230D"/>
    <w:rsid w:val="0073735C"/>
    <w:rsid w:val="007438F5"/>
    <w:rsid w:val="007456CF"/>
    <w:rsid w:val="007545F5"/>
    <w:rsid w:val="00755B00"/>
    <w:rsid w:val="007608CF"/>
    <w:rsid w:val="00762E1F"/>
    <w:rsid w:val="00763C63"/>
    <w:rsid w:val="00773950"/>
    <w:rsid w:val="00775E8F"/>
    <w:rsid w:val="0078141C"/>
    <w:rsid w:val="00783EF3"/>
    <w:rsid w:val="007846D9"/>
    <w:rsid w:val="00784F31"/>
    <w:rsid w:val="00790EB5"/>
    <w:rsid w:val="00792635"/>
    <w:rsid w:val="007A088F"/>
    <w:rsid w:val="007A2D9A"/>
    <w:rsid w:val="007A31DF"/>
    <w:rsid w:val="007A70EF"/>
    <w:rsid w:val="007A7B31"/>
    <w:rsid w:val="007B2F0B"/>
    <w:rsid w:val="007B5002"/>
    <w:rsid w:val="007B5D8F"/>
    <w:rsid w:val="007B7482"/>
    <w:rsid w:val="007C3E8C"/>
    <w:rsid w:val="007D22E5"/>
    <w:rsid w:val="007D320F"/>
    <w:rsid w:val="007E0A03"/>
    <w:rsid w:val="007E468B"/>
    <w:rsid w:val="007E475A"/>
    <w:rsid w:val="007E5201"/>
    <w:rsid w:val="007E58DA"/>
    <w:rsid w:val="007F3906"/>
    <w:rsid w:val="007F3D07"/>
    <w:rsid w:val="007F403A"/>
    <w:rsid w:val="007F5D04"/>
    <w:rsid w:val="008006A0"/>
    <w:rsid w:val="00802AA2"/>
    <w:rsid w:val="00824E17"/>
    <w:rsid w:val="00825F85"/>
    <w:rsid w:val="00826BD6"/>
    <w:rsid w:val="00831D6F"/>
    <w:rsid w:val="0084059D"/>
    <w:rsid w:val="00843CF1"/>
    <w:rsid w:val="0084591A"/>
    <w:rsid w:val="00846C6C"/>
    <w:rsid w:val="00847BF6"/>
    <w:rsid w:val="008511CC"/>
    <w:rsid w:val="00851929"/>
    <w:rsid w:val="00851A2B"/>
    <w:rsid w:val="00852B82"/>
    <w:rsid w:val="00853C7D"/>
    <w:rsid w:val="00865E4B"/>
    <w:rsid w:val="008670B3"/>
    <w:rsid w:val="00870CE9"/>
    <w:rsid w:val="00873B39"/>
    <w:rsid w:val="008763EE"/>
    <w:rsid w:val="00880DAB"/>
    <w:rsid w:val="00880E60"/>
    <w:rsid w:val="00883BC7"/>
    <w:rsid w:val="00884A89"/>
    <w:rsid w:val="00884BF2"/>
    <w:rsid w:val="00890E28"/>
    <w:rsid w:val="00892A2C"/>
    <w:rsid w:val="008936B8"/>
    <w:rsid w:val="00894BE9"/>
    <w:rsid w:val="008951DA"/>
    <w:rsid w:val="00896BFB"/>
    <w:rsid w:val="008A0432"/>
    <w:rsid w:val="008A6E16"/>
    <w:rsid w:val="008B1795"/>
    <w:rsid w:val="008B3EB9"/>
    <w:rsid w:val="008B67F1"/>
    <w:rsid w:val="008C01B8"/>
    <w:rsid w:val="008C31AE"/>
    <w:rsid w:val="008C37EC"/>
    <w:rsid w:val="008C4ED0"/>
    <w:rsid w:val="008C4F62"/>
    <w:rsid w:val="008D35B8"/>
    <w:rsid w:val="008D5745"/>
    <w:rsid w:val="008F0CEF"/>
    <w:rsid w:val="008F58EF"/>
    <w:rsid w:val="0090382B"/>
    <w:rsid w:val="00906E31"/>
    <w:rsid w:val="00907F40"/>
    <w:rsid w:val="0091356C"/>
    <w:rsid w:val="00922BDD"/>
    <w:rsid w:val="0092552F"/>
    <w:rsid w:val="00935D79"/>
    <w:rsid w:val="009363E3"/>
    <w:rsid w:val="00941FAB"/>
    <w:rsid w:val="009420FF"/>
    <w:rsid w:val="00943ACA"/>
    <w:rsid w:val="009449D4"/>
    <w:rsid w:val="00945314"/>
    <w:rsid w:val="0094678F"/>
    <w:rsid w:val="00950612"/>
    <w:rsid w:val="009515B0"/>
    <w:rsid w:val="00953611"/>
    <w:rsid w:val="009675D7"/>
    <w:rsid w:val="00970155"/>
    <w:rsid w:val="00982829"/>
    <w:rsid w:val="00983EC5"/>
    <w:rsid w:val="00983ED9"/>
    <w:rsid w:val="009856BC"/>
    <w:rsid w:val="00986234"/>
    <w:rsid w:val="00990302"/>
    <w:rsid w:val="0099091A"/>
    <w:rsid w:val="00994DD4"/>
    <w:rsid w:val="009950F4"/>
    <w:rsid w:val="009A177F"/>
    <w:rsid w:val="009A1EE9"/>
    <w:rsid w:val="009A2F5B"/>
    <w:rsid w:val="009A3169"/>
    <w:rsid w:val="009C1513"/>
    <w:rsid w:val="009C5B36"/>
    <w:rsid w:val="009D0DFF"/>
    <w:rsid w:val="009D2E81"/>
    <w:rsid w:val="009D3E7D"/>
    <w:rsid w:val="009D5DB4"/>
    <w:rsid w:val="009D6503"/>
    <w:rsid w:val="009D7B26"/>
    <w:rsid w:val="009E1448"/>
    <w:rsid w:val="00A05D13"/>
    <w:rsid w:val="00A06452"/>
    <w:rsid w:val="00A06EB9"/>
    <w:rsid w:val="00A070CD"/>
    <w:rsid w:val="00A07D66"/>
    <w:rsid w:val="00A244E1"/>
    <w:rsid w:val="00A24798"/>
    <w:rsid w:val="00A35DFA"/>
    <w:rsid w:val="00A3720E"/>
    <w:rsid w:val="00A4155D"/>
    <w:rsid w:val="00A44D9B"/>
    <w:rsid w:val="00A52724"/>
    <w:rsid w:val="00A52C6C"/>
    <w:rsid w:val="00A542F0"/>
    <w:rsid w:val="00A568E3"/>
    <w:rsid w:val="00A632D9"/>
    <w:rsid w:val="00A6506F"/>
    <w:rsid w:val="00A73A04"/>
    <w:rsid w:val="00A757BD"/>
    <w:rsid w:val="00A80611"/>
    <w:rsid w:val="00A82AB6"/>
    <w:rsid w:val="00A85574"/>
    <w:rsid w:val="00A85920"/>
    <w:rsid w:val="00A87F71"/>
    <w:rsid w:val="00A90993"/>
    <w:rsid w:val="00A90CE7"/>
    <w:rsid w:val="00A92033"/>
    <w:rsid w:val="00AA120C"/>
    <w:rsid w:val="00AA58D0"/>
    <w:rsid w:val="00AA6A4A"/>
    <w:rsid w:val="00AB1D0D"/>
    <w:rsid w:val="00AB2F77"/>
    <w:rsid w:val="00AB35BC"/>
    <w:rsid w:val="00AB60DF"/>
    <w:rsid w:val="00AC41A5"/>
    <w:rsid w:val="00AC46EC"/>
    <w:rsid w:val="00AC5E2D"/>
    <w:rsid w:val="00AD4297"/>
    <w:rsid w:val="00AD6025"/>
    <w:rsid w:val="00AD7D08"/>
    <w:rsid w:val="00AE4487"/>
    <w:rsid w:val="00AE724F"/>
    <w:rsid w:val="00AF353D"/>
    <w:rsid w:val="00B14362"/>
    <w:rsid w:val="00B150CD"/>
    <w:rsid w:val="00B20547"/>
    <w:rsid w:val="00B24294"/>
    <w:rsid w:val="00B315BF"/>
    <w:rsid w:val="00B31BB7"/>
    <w:rsid w:val="00B31C32"/>
    <w:rsid w:val="00B45817"/>
    <w:rsid w:val="00B509F1"/>
    <w:rsid w:val="00B50D9C"/>
    <w:rsid w:val="00B53532"/>
    <w:rsid w:val="00B56AAB"/>
    <w:rsid w:val="00B61B9A"/>
    <w:rsid w:val="00B61D4E"/>
    <w:rsid w:val="00B644B0"/>
    <w:rsid w:val="00B66EC2"/>
    <w:rsid w:val="00B71469"/>
    <w:rsid w:val="00B826EA"/>
    <w:rsid w:val="00B833E2"/>
    <w:rsid w:val="00B84A8A"/>
    <w:rsid w:val="00B85470"/>
    <w:rsid w:val="00B86D6B"/>
    <w:rsid w:val="00B8739A"/>
    <w:rsid w:val="00B87CF5"/>
    <w:rsid w:val="00B90B37"/>
    <w:rsid w:val="00B90C99"/>
    <w:rsid w:val="00B9312A"/>
    <w:rsid w:val="00B93FA5"/>
    <w:rsid w:val="00B948C4"/>
    <w:rsid w:val="00B95471"/>
    <w:rsid w:val="00B97A59"/>
    <w:rsid w:val="00B97DA8"/>
    <w:rsid w:val="00BA329E"/>
    <w:rsid w:val="00BA6039"/>
    <w:rsid w:val="00BA6560"/>
    <w:rsid w:val="00BB01FA"/>
    <w:rsid w:val="00BB42C9"/>
    <w:rsid w:val="00BB5F0C"/>
    <w:rsid w:val="00BB6CA6"/>
    <w:rsid w:val="00BC0F8D"/>
    <w:rsid w:val="00BC12C8"/>
    <w:rsid w:val="00BC743B"/>
    <w:rsid w:val="00BD52D0"/>
    <w:rsid w:val="00BE7E0F"/>
    <w:rsid w:val="00BF0457"/>
    <w:rsid w:val="00BF0853"/>
    <w:rsid w:val="00BF1266"/>
    <w:rsid w:val="00BF3675"/>
    <w:rsid w:val="00C058FD"/>
    <w:rsid w:val="00C065FD"/>
    <w:rsid w:val="00C109E2"/>
    <w:rsid w:val="00C114C0"/>
    <w:rsid w:val="00C11917"/>
    <w:rsid w:val="00C123AF"/>
    <w:rsid w:val="00C15C01"/>
    <w:rsid w:val="00C16ED2"/>
    <w:rsid w:val="00C17336"/>
    <w:rsid w:val="00C20100"/>
    <w:rsid w:val="00C204B8"/>
    <w:rsid w:val="00C20886"/>
    <w:rsid w:val="00C24806"/>
    <w:rsid w:val="00C26677"/>
    <w:rsid w:val="00C30586"/>
    <w:rsid w:val="00C35066"/>
    <w:rsid w:val="00C40A13"/>
    <w:rsid w:val="00C425DC"/>
    <w:rsid w:val="00C55860"/>
    <w:rsid w:val="00C55AAE"/>
    <w:rsid w:val="00C57213"/>
    <w:rsid w:val="00C57DFB"/>
    <w:rsid w:val="00C60F14"/>
    <w:rsid w:val="00C63E16"/>
    <w:rsid w:val="00C701CD"/>
    <w:rsid w:val="00C74F72"/>
    <w:rsid w:val="00C80868"/>
    <w:rsid w:val="00C80F1E"/>
    <w:rsid w:val="00C81827"/>
    <w:rsid w:val="00C829A3"/>
    <w:rsid w:val="00C82FB9"/>
    <w:rsid w:val="00C85B96"/>
    <w:rsid w:val="00C86710"/>
    <w:rsid w:val="00C879F5"/>
    <w:rsid w:val="00C91203"/>
    <w:rsid w:val="00C91333"/>
    <w:rsid w:val="00C9409B"/>
    <w:rsid w:val="00C97A6E"/>
    <w:rsid w:val="00CA3366"/>
    <w:rsid w:val="00CA530B"/>
    <w:rsid w:val="00CA6E8E"/>
    <w:rsid w:val="00CB001D"/>
    <w:rsid w:val="00CB1CE3"/>
    <w:rsid w:val="00CB2C7D"/>
    <w:rsid w:val="00CB72FB"/>
    <w:rsid w:val="00CC24BC"/>
    <w:rsid w:val="00CC647B"/>
    <w:rsid w:val="00CD1646"/>
    <w:rsid w:val="00CD7D4D"/>
    <w:rsid w:val="00CE3AC9"/>
    <w:rsid w:val="00CF1FE0"/>
    <w:rsid w:val="00CF37BA"/>
    <w:rsid w:val="00CF58D1"/>
    <w:rsid w:val="00CF7148"/>
    <w:rsid w:val="00CF756B"/>
    <w:rsid w:val="00D03E48"/>
    <w:rsid w:val="00D04F3F"/>
    <w:rsid w:val="00D0517A"/>
    <w:rsid w:val="00D05374"/>
    <w:rsid w:val="00D1056B"/>
    <w:rsid w:val="00D11E92"/>
    <w:rsid w:val="00D15FD6"/>
    <w:rsid w:val="00D244FB"/>
    <w:rsid w:val="00D253D8"/>
    <w:rsid w:val="00D25F74"/>
    <w:rsid w:val="00D3181D"/>
    <w:rsid w:val="00D34585"/>
    <w:rsid w:val="00D345EB"/>
    <w:rsid w:val="00D3721E"/>
    <w:rsid w:val="00D44284"/>
    <w:rsid w:val="00D4599D"/>
    <w:rsid w:val="00D50D7E"/>
    <w:rsid w:val="00D53BCF"/>
    <w:rsid w:val="00D56528"/>
    <w:rsid w:val="00D644BD"/>
    <w:rsid w:val="00D67157"/>
    <w:rsid w:val="00D71FC5"/>
    <w:rsid w:val="00D74A26"/>
    <w:rsid w:val="00D757B4"/>
    <w:rsid w:val="00D76058"/>
    <w:rsid w:val="00D765EB"/>
    <w:rsid w:val="00D80940"/>
    <w:rsid w:val="00D81538"/>
    <w:rsid w:val="00D8519F"/>
    <w:rsid w:val="00D878DC"/>
    <w:rsid w:val="00D967EA"/>
    <w:rsid w:val="00DA6ADC"/>
    <w:rsid w:val="00DB31F7"/>
    <w:rsid w:val="00DC3140"/>
    <w:rsid w:val="00DC4F0E"/>
    <w:rsid w:val="00DC77C8"/>
    <w:rsid w:val="00DD3C07"/>
    <w:rsid w:val="00DD673E"/>
    <w:rsid w:val="00DD6FD2"/>
    <w:rsid w:val="00DE42B0"/>
    <w:rsid w:val="00DF5834"/>
    <w:rsid w:val="00E0068A"/>
    <w:rsid w:val="00E009E2"/>
    <w:rsid w:val="00E00F71"/>
    <w:rsid w:val="00E01527"/>
    <w:rsid w:val="00E01533"/>
    <w:rsid w:val="00E11CC4"/>
    <w:rsid w:val="00E160B9"/>
    <w:rsid w:val="00E16D49"/>
    <w:rsid w:val="00E2183B"/>
    <w:rsid w:val="00E313C8"/>
    <w:rsid w:val="00E33908"/>
    <w:rsid w:val="00E36957"/>
    <w:rsid w:val="00E41501"/>
    <w:rsid w:val="00E430ED"/>
    <w:rsid w:val="00E53466"/>
    <w:rsid w:val="00E65F08"/>
    <w:rsid w:val="00E736E1"/>
    <w:rsid w:val="00E74296"/>
    <w:rsid w:val="00E74AC0"/>
    <w:rsid w:val="00E82577"/>
    <w:rsid w:val="00E86A0A"/>
    <w:rsid w:val="00E87ACD"/>
    <w:rsid w:val="00E932A5"/>
    <w:rsid w:val="00E9397E"/>
    <w:rsid w:val="00E96606"/>
    <w:rsid w:val="00EA7CD9"/>
    <w:rsid w:val="00EB211A"/>
    <w:rsid w:val="00EC028F"/>
    <w:rsid w:val="00EC1F87"/>
    <w:rsid w:val="00EC57EB"/>
    <w:rsid w:val="00EC692D"/>
    <w:rsid w:val="00EC7DCF"/>
    <w:rsid w:val="00ED3833"/>
    <w:rsid w:val="00ED4EC9"/>
    <w:rsid w:val="00EE4A70"/>
    <w:rsid w:val="00EF0986"/>
    <w:rsid w:val="00EF141D"/>
    <w:rsid w:val="00EF1791"/>
    <w:rsid w:val="00F052C1"/>
    <w:rsid w:val="00F062B4"/>
    <w:rsid w:val="00F15041"/>
    <w:rsid w:val="00F171E4"/>
    <w:rsid w:val="00F2116C"/>
    <w:rsid w:val="00F223FA"/>
    <w:rsid w:val="00F260B1"/>
    <w:rsid w:val="00F26AAB"/>
    <w:rsid w:val="00F311AE"/>
    <w:rsid w:val="00F41621"/>
    <w:rsid w:val="00F45B9C"/>
    <w:rsid w:val="00F473B2"/>
    <w:rsid w:val="00F50A07"/>
    <w:rsid w:val="00F5205C"/>
    <w:rsid w:val="00F56620"/>
    <w:rsid w:val="00F61EAA"/>
    <w:rsid w:val="00F62F0E"/>
    <w:rsid w:val="00F665E0"/>
    <w:rsid w:val="00F675C0"/>
    <w:rsid w:val="00F819A8"/>
    <w:rsid w:val="00F83CC0"/>
    <w:rsid w:val="00F8784F"/>
    <w:rsid w:val="00F9025D"/>
    <w:rsid w:val="00F92959"/>
    <w:rsid w:val="00F96025"/>
    <w:rsid w:val="00F96568"/>
    <w:rsid w:val="00F979C5"/>
    <w:rsid w:val="00FA1902"/>
    <w:rsid w:val="00FB1566"/>
    <w:rsid w:val="00FB2518"/>
    <w:rsid w:val="00FC4DC8"/>
    <w:rsid w:val="00FD26A9"/>
    <w:rsid w:val="00FE03A8"/>
    <w:rsid w:val="00FE1919"/>
    <w:rsid w:val="00FE2F62"/>
    <w:rsid w:val="00FE482D"/>
    <w:rsid w:val="00FF06F9"/>
    <w:rsid w:val="00FF08B6"/>
    <w:rsid w:val="00FF357F"/>
    <w:rsid w:val="00FF6F91"/>
    <w:rsid w:val="012E552B"/>
    <w:rsid w:val="016C16D9"/>
    <w:rsid w:val="017F60E1"/>
    <w:rsid w:val="01BF563F"/>
    <w:rsid w:val="01E01000"/>
    <w:rsid w:val="01E2611D"/>
    <w:rsid w:val="020B5774"/>
    <w:rsid w:val="02171F50"/>
    <w:rsid w:val="021E3D06"/>
    <w:rsid w:val="022646E2"/>
    <w:rsid w:val="027F7900"/>
    <w:rsid w:val="02CC3A1B"/>
    <w:rsid w:val="030E52EA"/>
    <w:rsid w:val="031A4DBB"/>
    <w:rsid w:val="03286B9D"/>
    <w:rsid w:val="033C217E"/>
    <w:rsid w:val="03AE7A2D"/>
    <w:rsid w:val="03CB7F20"/>
    <w:rsid w:val="03D15E9D"/>
    <w:rsid w:val="03EB1C47"/>
    <w:rsid w:val="04635F47"/>
    <w:rsid w:val="04883FFB"/>
    <w:rsid w:val="049D57CF"/>
    <w:rsid w:val="04C62D7A"/>
    <w:rsid w:val="04D15B57"/>
    <w:rsid w:val="05096384"/>
    <w:rsid w:val="055614F3"/>
    <w:rsid w:val="05666455"/>
    <w:rsid w:val="058A5D74"/>
    <w:rsid w:val="059A7668"/>
    <w:rsid w:val="05CA76E9"/>
    <w:rsid w:val="05F131DF"/>
    <w:rsid w:val="05FE5E6A"/>
    <w:rsid w:val="06E65246"/>
    <w:rsid w:val="0736244E"/>
    <w:rsid w:val="073C58BF"/>
    <w:rsid w:val="07470A5B"/>
    <w:rsid w:val="075A78D1"/>
    <w:rsid w:val="07924186"/>
    <w:rsid w:val="07A44B35"/>
    <w:rsid w:val="08246980"/>
    <w:rsid w:val="082538F1"/>
    <w:rsid w:val="0838116E"/>
    <w:rsid w:val="08641D96"/>
    <w:rsid w:val="089C57CF"/>
    <w:rsid w:val="08B731F8"/>
    <w:rsid w:val="08D047B0"/>
    <w:rsid w:val="08E8283E"/>
    <w:rsid w:val="09145DFF"/>
    <w:rsid w:val="092F7ADD"/>
    <w:rsid w:val="093257DD"/>
    <w:rsid w:val="09393AC3"/>
    <w:rsid w:val="09480337"/>
    <w:rsid w:val="094977B2"/>
    <w:rsid w:val="097775E8"/>
    <w:rsid w:val="099468E8"/>
    <w:rsid w:val="09BE3B01"/>
    <w:rsid w:val="09C059C0"/>
    <w:rsid w:val="09DE299A"/>
    <w:rsid w:val="0A85277A"/>
    <w:rsid w:val="0AA979CD"/>
    <w:rsid w:val="0AD1183C"/>
    <w:rsid w:val="0AD53B95"/>
    <w:rsid w:val="0B0F65EA"/>
    <w:rsid w:val="0B2A217B"/>
    <w:rsid w:val="0B2A6AB1"/>
    <w:rsid w:val="0B353E1F"/>
    <w:rsid w:val="0B4B1319"/>
    <w:rsid w:val="0BEB3768"/>
    <w:rsid w:val="0C1A0D01"/>
    <w:rsid w:val="0C211E50"/>
    <w:rsid w:val="0C7066B1"/>
    <w:rsid w:val="0C8F37B5"/>
    <w:rsid w:val="0CB01410"/>
    <w:rsid w:val="0CBB37CD"/>
    <w:rsid w:val="0CCD2233"/>
    <w:rsid w:val="0CEF361A"/>
    <w:rsid w:val="0D084B26"/>
    <w:rsid w:val="0D091532"/>
    <w:rsid w:val="0D094E24"/>
    <w:rsid w:val="0D0A0F87"/>
    <w:rsid w:val="0D2E4AA7"/>
    <w:rsid w:val="0D3D208B"/>
    <w:rsid w:val="0D516D84"/>
    <w:rsid w:val="0D8C29BC"/>
    <w:rsid w:val="0DF67ABC"/>
    <w:rsid w:val="0E0F34BA"/>
    <w:rsid w:val="0E1F47E4"/>
    <w:rsid w:val="0E464DBA"/>
    <w:rsid w:val="0E4A1982"/>
    <w:rsid w:val="0E7F7FF8"/>
    <w:rsid w:val="0E802BAF"/>
    <w:rsid w:val="0E951D39"/>
    <w:rsid w:val="0EC16F36"/>
    <w:rsid w:val="0EED7D1F"/>
    <w:rsid w:val="0EF1430C"/>
    <w:rsid w:val="0EF402FB"/>
    <w:rsid w:val="0F3574EB"/>
    <w:rsid w:val="0F3954A2"/>
    <w:rsid w:val="0F3C0631"/>
    <w:rsid w:val="0F4E7C4A"/>
    <w:rsid w:val="0F535510"/>
    <w:rsid w:val="0F8A013A"/>
    <w:rsid w:val="0F922ADD"/>
    <w:rsid w:val="0FBD4514"/>
    <w:rsid w:val="0FD244B9"/>
    <w:rsid w:val="0FD55067"/>
    <w:rsid w:val="0FEF0BC9"/>
    <w:rsid w:val="0FF65050"/>
    <w:rsid w:val="10100B4B"/>
    <w:rsid w:val="101114FA"/>
    <w:rsid w:val="107E021E"/>
    <w:rsid w:val="10874E3A"/>
    <w:rsid w:val="10C01B0F"/>
    <w:rsid w:val="115228D8"/>
    <w:rsid w:val="11B96AEC"/>
    <w:rsid w:val="11EF0843"/>
    <w:rsid w:val="12204A76"/>
    <w:rsid w:val="123A1C1E"/>
    <w:rsid w:val="126861B1"/>
    <w:rsid w:val="127707EA"/>
    <w:rsid w:val="12815E88"/>
    <w:rsid w:val="12963B9F"/>
    <w:rsid w:val="12D025D4"/>
    <w:rsid w:val="12E570F7"/>
    <w:rsid w:val="134A54FC"/>
    <w:rsid w:val="13A7399D"/>
    <w:rsid w:val="13E316E0"/>
    <w:rsid w:val="13F774F8"/>
    <w:rsid w:val="14365E82"/>
    <w:rsid w:val="146B369C"/>
    <w:rsid w:val="147A7B0B"/>
    <w:rsid w:val="14BE1B4C"/>
    <w:rsid w:val="14F445BF"/>
    <w:rsid w:val="15093E96"/>
    <w:rsid w:val="151712FB"/>
    <w:rsid w:val="151956D7"/>
    <w:rsid w:val="15695D6B"/>
    <w:rsid w:val="157D70FB"/>
    <w:rsid w:val="15B71E58"/>
    <w:rsid w:val="15DE73A8"/>
    <w:rsid w:val="15F605ED"/>
    <w:rsid w:val="163435FA"/>
    <w:rsid w:val="164C0C98"/>
    <w:rsid w:val="1651268A"/>
    <w:rsid w:val="168B6E6F"/>
    <w:rsid w:val="16D00F57"/>
    <w:rsid w:val="17503FD8"/>
    <w:rsid w:val="177E0338"/>
    <w:rsid w:val="178667C5"/>
    <w:rsid w:val="180E5518"/>
    <w:rsid w:val="1859108A"/>
    <w:rsid w:val="1863217E"/>
    <w:rsid w:val="188473DD"/>
    <w:rsid w:val="18B22FBB"/>
    <w:rsid w:val="18B26C25"/>
    <w:rsid w:val="18E12E3E"/>
    <w:rsid w:val="18E1780B"/>
    <w:rsid w:val="18EE1A5C"/>
    <w:rsid w:val="196A2979"/>
    <w:rsid w:val="199D3E34"/>
    <w:rsid w:val="19C01ED4"/>
    <w:rsid w:val="19E176EA"/>
    <w:rsid w:val="19F40D7B"/>
    <w:rsid w:val="1A794683"/>
    <w:rsid w:val="1A8F5D4F"/>
    <w:rsid w:val="1ADB46AD"/>
    <w:rsid w:val="1AEF27B0"/>
    <w:rsid w:val="1B0F2970"/>
    <w:rsid w:val="1B200BF5"/>
    <w:rsid w:val="1B2B550A"/>
    <w:rsid w:val="1B385B14"/>
    <w:rsid w:val="1B3B4863"/>
    <w:rsid w:val="1B3C168C"/>
    <w:rsid w:val="1B402F47"/>
    <w:rsid w:val="1B56786B"/>
    <w:rsid w:val="1B942560"/>
    <w:rsid w:val="1B9514C8"/>
    <w:rsid w:val="1BE97C88"/>
    <w:rsid w:val="1BF63D94"/>
    <w:rsid w:val="1BFA170E"/>
    <w:rsid w:val="1BFA1FDE"/>
    <w:rsid w:val="1C0B6E16"/>
    <w:rsid w:val="1C191646"/>
    <w:rsid w:val="1C5B63E0"/>
    <w:rsid w:val="1CA521A2"/>
    <w:rsid w:val="1D263A0D"/>
    <w:rsid w:val="1D4B6839"/>
    <w:rsid w:val="1D5656B4"/>
    <w:rsid w:val="1D602034"/>
    <w:rsid w:val="1D855566"/>
    <w:rsid w:val="1DAD3C61"/>
    <w:rsid w:val="1DCB1221"/>
    <w:rsid w:val="1E250498"/>
    <w:rsid w:val="1E2B3367"/>
    <w:rsid w:val="1E2C3ED4"/>
    <w:rsid w:val="1E351BE5"/>
    <w:rsid w:val="1E480FA2"/>
    <w:rsid w:val="1E503B11"/>
    <w:rsid w:val="1E7173B7"/>
    <w:rsid w:val="1E8011C3"/>
    <w:rsid w:val="1E9B7806"/>
    <w:rsid w:val="1E9C1F16"/>
    <w:rsid w:val="1EEF79F2"/>
    <w:rsid w:val="1F2F77EC"/>
    <w:rsid w:val="1F3F6A66"/>
    <w:rsid w:val="1F5C285E"/>
    <w:rsid w:val="1F61713C"/>
    <w:rsid w:val="1F817369"/>
    <w:rsid w:val="1F89678F"/>
    <w:rsid w:val="1F9D3AF1"/>
    <w:rsid w:val="1FA56B07"/>
    <w:rsid w:val="1FDE5DCF"/>
    <w:rsid w:val="1FF13420"/>
    <w:rsid w:val="20080308"/>
    <w:rsid w:val="20135292"/>
    <w:rsid w:val="20325E6D"/>
    <w:rsid w:val="20333B50"/>
    <w:rsid w:val="20390044"/>
    <w:rsid w:val="20430CF3"/>
    <w:rsid w:val="20585559"/>
    <w:rsid w:val="20737A4D"/>
    <w:rsid w:val="20CF66E5"/>
    <w:rsid w:val="20D71D28"/>
    <w:rsid w:val="20EB1677"/>
    <w:rsid w:val="21052A98"/>
    <w:rsid w:val="210C31F9"/>
    <w:rsid w:val="210E048F"/>
    <w:rsid w:val="212E2F43"/>
    <w:rsid w:val="214F6CB9"/>
    <w:rsid w:val="216C1144"/>
    <w:rsid w:val="2196098D"/>
    <w:rsid w:val="21AF26D5"/>
    <w:rsid w:val="21C64735"/>
    <w:rsid w:val="22196ED2"/>
    <w:rsid w:val="22220824"/>
    <w:rsid w:val="22531216"/>
    <w:rsid w:val="226B0B60"/>
    <w:rsid w:val="22AD6DFF"/>
    <w:rsid w:val="22C56E64"/>
    <w:rsid w:val="22DD7712"/>
    <w:rsid w:val="22FA6DC8"/>
    <w:rsid w:val="23080B2D"/>
    <w:rsid w:val="230911BE"/>
    <w:rsid w:val="232032A8"/>
    <w:rsid w:val="23386DF6"/>
    <w:rsid w:val="234A4049"/>
    <w:rsid w:val="235A5755"/>
    <w:rsid w:val="23914DE2"/>
    <w:rsid w:val="23AD56A2"/>
    <w:rsid w:val="23AE4A45"/>
    <w:rsid w:val="23D02569"/>
    <w:rsid w:val="23DB7F21"/>
    <w:rsid w:val="23EE6C66"/>
    <w:rsid w:val="241B6656"/>
    <w:rsid w:val="243B6514"/>
    <w:rsid w:val="244676E9"/>
    <w:rsid w:val="244D0E72"/>
    <w:rsid w:val="249412A7"/>
    <w:rsid w:val="249E6301"/>
    <w:rsid w:val="24B52401"/>
    <w:rsid w:val="25191B9B"/>
    <w:rsid w:val="25551AD9"/>
    <w:rsid w:val="255D7AAA"/>
    <w:rsid w:val="25713B06"/>
    <w:rsid w:val="2591310F"/>
    <w:rsid w:val="2593568B"/>
    <w:rsid w:val="25CF7450"/>
    <w:rsid w:val="25F27D64"/>
    <w:rsid w:val="264E5D82"/>
    <w:rsid w:val="26580B3A"/>
    <w:rsid w:val="26765063"/>
    <w:rsid w:val="26A73EFA"/>
    <w:rsid w:val="26A945BD"/>
    <w:rsid w:val="26D052C7"/>
    <w:rsid w:val="26DC50D5"/>
    <w:rsid w:val="27285EFE"/>
    <w:rsid w:val="27541B5E"/>
    <w:rsid w:val="275E193E"/>
    <w:rsid w:val="27817B11"/>
    <w:rsid w:val="278E30D2"/>
    <w:rsid w:val="278E44E2"/>
    <w:rsid w:val="279851F9"/>
    <w:rsid w:val="279D443C"/>
    <w:rsid w:val="27A536B5"/>
    <w:rsid w:val="27B31C22"/>
    <w:rsid w:val="27B51121"/>
    <w:rsid w:val="27CE3790"/>
    <w:rsid w:val="27D602F4"/>
    <w:rsid w:val="27F61EB2"/>
    <w:rsid w:val="27FD6499"/>
    <w:rsid w:val="281226C2"/>
    <w:rsid w:val="28305E4D"/>
    <w:rsid w:val="287D031A"/>
    <w:rsid w:val="288F4BD2"/>
    <w:rsid w:val="28A34824"/>
    <w:rsid w:val="28BA44B3"/>
    <w:rsid w:val="29183336"/>
    <w:rsid w:val="29447B88"/>
    <w:rsid w:val="294560EA"/>
    <w:rsid w:val="29D43280"/>
    <w:rsid w:val="29E93F98"/>
    <w:rsid w:val="29EC1017"/>
    <w:rsid w:val="2A2B5115"/>
    <w:rsid w:val="2A3B2CAD"/>
    <w:rsid w:val="2A400762"/>
    <w:rsid w:val="2A412BE0"/>
    <w:rsid w:val="2A4340B5"/>
    <w:rsid w:val="2A507B7F"/>
    <w:rsid w:val="2A636D8A"/>
    <w:rsid w:val="2A6372B2"/>
    <w:rsid w:val="2A88359B"/>
    <w:rsid w:val="2AB91BCD"/>
    <w:rsid w:val="2AD14096"/>
    <w:rsid w:val="2B487D77"/>
    <w:rsid w:val="2B8A06CA"/>
    <w:rsid w:val="2BC44365"/>
    <w:rsid w:val="2BD32203"/>
    <w:rsid w:val="2BEE4884"/>
    <w:rsid w:val="2C0146A6"/>
    <w:rsid w:val="2C036D8F"/>
    <w:rsid w:val="2C24376E"/>
    <w:rsid w:val="2C2C1121"/>
    <w:rsid w:val="2C8612F4"/>
    <w:rsid w:val="2C8C4F56"/>
    <w:rsid w:val="2CCC7DBB"/>
    <w:rsid w:val="2CFE759B"/>
    <w:rsid w:val="2D0D01B9"/>
    <w:rsid w:val="2D30688C"/>
    <w:rsid w:val="2D3974FF"/>
    <w:rsid w:val="2D4237C8"/>
    <w:rsid w:val="2D573B45"/>
    <w:rsid w:val="2D785411"/>
    <w:rsid w:val="2D886992"/>
    <w:rsid w:val="2D9B3582"/>
    <w:rsid w:val="2DC05E6B"/>
    <w:rsid w:val="2DC37578"/>
    <w:rsid w:val="2DC91117"/>
    <w:rsid w:val="2DFE5329"/>
    <w:rsid w:val="2E1B7CAE"/>
    <w:rsid w:val="2E295F0B"/>
    <w:rsid w:val="2E3E2E38"/>
    <w:rsid w:val="2EA627E6"/>
    <w:rsid w:val="2EEB4A21"/>
    <w:rsid w:val="2F066EE5"/>
    <w:rsid w:val="2F1F5293"/>
    <w:rsid w:val="2FA56D2A"/>
    <w:rsid w:val="2FF14488"/>
    <w:rsid w:val="2FFC4761"/>
    <w:rsid w:val="30165C0E"/>
    <w:rsid w:val="3030030F"/>
    <w:rsid w:val="3037589D"/>
    <w:rsid w:val="307D0995"/>
    <w:rsid w:val="30912E56"/>
    <w:rsid w:val="309322D8"/>
    <w:rsid w:val="310F2DE4"/>
    <w:rsid w:val="311B1ADA"/>
    <w:rsid w:val="3136739B"/>
    <w:rsid w:val="31455045"/>
    <w:rsid w:val="3172252B"/>
    <w:rsid w:val="31D90D24"/>
    <w:rsid w:val="31E17D91"/>
    <w:rsid w:val="31F05435"/>
    <w:rsid w:val="31FE42EE"/>
    <w:rsid w:val="32406775"/>
    <w:rsid w:val="328F492B"/>
    <w:rsid w:val="32950938"/>
    <w:rsid w:val="32DB3D98"/>
    <w:rsid w:val="32DD4607"/>
    <w:rsid w:val="32EE3142"/>
    <w:rsid w:val="330742DF"/>
    <w:rsid w:val="33220976"/>
    <w:rsid w:val="3340691B"/>
    <w:rsid w:val="335D538D"/>
    <w:rsid w:val="33A07DDC"/>
    <w:rsid w:val="33BD155C"/>
    <w:rsid w:val="33CA45B2"/>
    <w:rsid w:val="33D41711"/>
    <w:rsid w:val="344518A4"/>
    <w:rsid w:val="345D6D1C"/>
    <w:rsid w:val="351C7FEC"/>
    <w:rsid w:val="35201655"/>
    <w:rsid w:val="35662C5E"/>
    <w:rsid w:val="356D1DA7"/>
    <w:rsid w:val="35773BEB"/>
    <w:rsid w:val="358D1A34"/>
    <w:rsid w:val="35A54EBC"/>
    <w:rsid w:val="35B3123D"/>
    <w:rsid w:val="35CC4D65"/>
    <w:rsid w:val="35D9104E"/>
    <w:rsid w:val="360D6237"/>
    <w:rsid w:val="36153CCC"/>
    <w:rsid w:val="362C5922"/>
    <w:rsid w:val="37060697"/>
    <w:rsid w:val="370E4503"/>
    <w:rsid w:val="370F745B"/>
    <w:rsid w:val="37214C86"/>
    <w:rsid w:val="373310C2"/>
    <w:rsid w:val="379166D6"/>
    <w:rsid w:val="37D340F3"/>
    <w:rsid w:val="37E119F4"/>
    <w:rsid w:val="38327251"/>
    <w:rsid w:val="38450CEE"/>
    <w:rsid w:val="3858746E"/>
    <w:rsid w:val="3869413F"/>
    <w:rsid w:val="38713F8B"/>
    <w:rsid w:val="38797B73"/>
    <w:rsid w:val="387A02C4"/>
    <w:rsid w:val="38AB407F"/>
    <w:rsid w:val="38C27300"/>
    <w:rsid w:val="393552A8"/>
    <w:rsid w:val="39561AF5"/>
    <w:rsid w:val="39852A01"/>
    <w:rsid w:val="39C26034"/>
    <w:rsid w:val="39DA6899"/>
    <w:rsid w:val="39E87691"/>
    <w:rsid w:val="39FF50A2"/>
    <w:rsid w:val="3A406204"/>
    <w:rsid w:val="3A4B4BCD"/>
    <w:rsid w:val="3ACF4AC0"/>
    <w:rsid w:val="3AE5350B"/>
    <w:rsid w:val="3AEB7CD3"/>
    <w:rsid w:val="3B023A20"/>
    <w:rsid w:val="3B0A0558"/>
    <w:rsid w:val="3B7F7654"/>
    <w:rsid w:val="3BDC0E7D"/>
    <w:rsid w:val="3BFE2404"/>
    <w:rsid w:val="3C211118"/>
    <w:rsid w:val="3C2807D0"/>
    <w:rsid w:val="3C2A2548"/>
    <w:rsid w:val="3C571BD9"/>
    <w:rsid w:val="3C9A7FA4"/>
    <w:rsid w:val="3CE76CC9"/>
    <w:rsid w:val="3D8F295E"/>
    <w:rsid w:val="3DAA70B4"/>
    <w:rsid w:val="3DC42B84"/>
    <w:rsid w:val="3DC54182"/>
    <w:rsid w:val="3DD61DEE"/>
    <w:rsid w:val="3E0A44D6"/>
    <w:rsid w:val="3E117059"/>
    <w:rsid w:val="3E400232"/>
    <w:rsid w:val="3E5217CE"/>
    <w:rsid w:val="3E55439B"/>
    <w:rsid w:val="3E5D7B73"/>
    <w:rsid w:val="3E753BDD"/>
    <w:rsid w:val="3E8A21CD"/>
    <w:rsid w:val="3F603039"/>
    <w:rsid w:val="3F851448"/>
    <w:rsid w:val="3F983A96"/>
    <w:rsid w:val="3F9D290A"/>
    <w:rsid w:val="3FD0175F"/>
    <w:rsid w:val="40447412"/>
    <w:rsid w:val="404D5F28"/>
    <w:rsid w:val="4061258C"/>
    <w:rsid w:val="40DF69BA"/>
    <w:rsid w:val="40E936B5"/>
    <w:rsid w:val="40EB1A22"/>
    <w:rsid w:val="40FC0BC1"/>
    <w:rsid w:val="41832CF0"/>
    <w:rsid w:val="41A25B15"/>
    <w:rsid w:val="41C17126"/>
    <w:rsid w:val="41CC5774"/>
    <w:rsid w:val="41EF5256"/>
    <w:rsid w:val="42106992"/>
    <w:rsid w:val="422701E2"/>
    <w:rsid w:val="42C0270A"/>
    <w:rsid w:val="42CE3D44"/>
    <w:rsid w:val="4316687B"/>
    <w:rsid w:val="431D4E57"/>
    <w:rsid w:val="433962C3"/>
    <w:rsid w:val="438565B7"/>
    <w:rsid w:val="43A60539"/>
    <w:rsid w:val="43AF63DA"/>
    <w:rsid w:val="43B7669E"/>
    <w:rsid w:val="43E16DE1"/>
    <w:rsid w:val="44165300"/>
    <w:rsid w:val="449120EE"/>
    <w:rsid w:val="449E0B97"/>
    <w:rsid w:val="449E3D4C"/>
    <w:rsid w:val="44A9274E"/>
    <w:rsid w:val="44B832BC"/>
    <w:rsid w:val="44C50EF9"/>
    <w:rsid w:val="4502777A"/>
    <w:rsid w:val="4513242A"/>
    <w:rsid w:val="451F4617"/>
    <w:rsid w:val="455D5FFB"/>
    <w:rsid w:val="457C24A3"/>
    <w:rsid w:val="457E6889"/>
    <w:rsid w:val="45884C0B"/>
    <w:rsid w:val="4594147E"/>
    <w:rsid w:val="459B6C7A"/>
    <w:rsid w:val="45A67B36"/>
    <w:rsid w:val="46127374"/>
    <w:rsid w:val="46223761"/>
    <w:rsid w:val="46532F24"/>
    <w:rsid w:val="46555461"/>
    <w:rsid w:val="466B2730"/>
    <w:rsid w:val="46B80144"/>
    <w:rsid w:val="46D539E4"/>
    <w:rsid w:val="470E4883"/>
    <w:rsid w:val="47BD5529"/>
    <w:rsid w:val="47D86D86"/>
    <w:rsid w:val="481B167A"/>
    <w:rsid w:val="487863B9"/>
    <w:rsid w:val="488212E7"/>
    <w:rsid w:val="48B5374B"/>
    <w:rsid w:val="48F4378A"/>
    <w:rsid w:val="49077AC4"/>
    <w:rsid w:val="492036C1"/>
    <w:rsid w:val="49300C06"/>
    <w:rsid w:val="497B1398"/>
    <w:rsid w:val="49895BBE"/>
    <w:rsid w:val="49CD2162"/>
    <w:rsid w:val="49D10105"/>
    <w:rsid w:val="49DD3E30"/>
    <w:rsid w:val="49FC77DC"/>
    <w:rsid w:val="49FF7F9F"/>
    <w:rsid w:val="4A0C701A"/>
    <w:rsid w:val="4A0F0D37"/>
    <w:rsid w:val="4A572D6E"/>
    <w:rsid w:val="4A6552FF"/>
    <w:rsid w:val="4A6961DA"/>
    <w:rsid w:val="4A6E7973"/>
    <w:rsid w:val="4A7125D0"/>
    <w:rsid w:val="4A8E47B2"/>
    <w:rsid w:val="4ABA5291"/>
    <w:rsid w:val="4ABA764D"/>
    <w:rsid w:val="4AD72F3E"/>
    <w:rsid w:val="4AD752A6"/>
    <w:rsid w:val="4AF518A8"/>
    <w:rsid w:val="4B321980"/>
    <w:rsid w:val="4B4F5D0B"/>
    <w:rsid w:val="4B506768"/>
    <w:rsid w:val="4B56000B"/>
    <w:rsid w:val="4B6E3443"/>
    <w:rsid w:val="4B811CCE"/>
    <w:rsid w:val="4B8617C0"/>
    <w:rsid w:val="4B8B617B"/>
    <w:rsid w:val="4BAA3B0D"/>
    <w:rsid w:val="4BD47CA1"/>
    <w:rsid w:val="4BD934CA"/>
    <w:rsid w:val="4C0F0945"/>
    <w:rsid w:val="4C7E699F"/>
    <w:rsid w:val="4C9E6B83"/>
    <w:rsid w:val="4CBF62EA"/>
    <w:rsid w:val="4CC95F94"/>
    <w:rsid w:val="4CE93F59"/>
    <w:rsid w:val="4D2227C3"/>
    <w:rsid w:val="4D4919B0"/>
    <w:rsid w:val="4D8B14A4"/>
    <w:rsid w:val="4E270305"/>
    <w:rsid w:val="4E507DFB"/>
    <w:rsid w:val="4E657D3E"/>
    <w:rsid w:val="4F150477"/>
    <w:rsid w:val="4F241BC5"/>
    <w:rsid w:val="4F606BDC"/>
    <w:rsid w:val="4FC226EE"/>
    <w:rsid w:val="4FCA438C"/>
    <w:rsid w:val="4FE46058"/>
    <w:rsid w:val="50183DA0"/>
    <w:rsid w:val="50221477"/>
    <w:rsid w:val="50613466"/>
    <w:rsid w:val="50C2564E"/>
    <w:rsid w:val="50E767CF"/>
    <w:rsid w:val="51031615"/>
    <w:rsid w:val="5109047A"/>
    <w:rsid w:val="5163034C"/>
    <w:rsid w:val="51682191"/>
    <w:rsid w:val="518B418E"/>
    <w:rsid w:val="51947107"/>
    <w:rsid w:val="51BF0933"/>
    <w:rsid w:val="51E920B2"/>
    <w:rsid w:val="52196005"/>
    <w:rsid w:val="521F46C7"/>
    <w:rsid w:val="525E0567"/>
    <w:rsid w:val="52740551"/>
    <w:rsid w:val="52C27332"/>
    <w:rsid w:val="52EC0A5B"/>
    <w:rsid w:val="52F948B7"/>
    <w:rsid w:val="533E3E78"/>
    <w:rsid w:val="534B133D"/>
    <w:rsid w:val="538D1ACB"/>
    <w:rsid w:val="53D27D76"/>
    <w:rsid w:val="53E15864"/>
    <w:rsid w:val="541043A4"/>
    <w:rsid w:val="54B76273"/>
    <w:rsid w:val="54DC7E99"/>
    <w:rsid w:val="54EC6E8B"/>
    <w:rsid w:val="54F310A5"/>
    <w:rsid w:val="54FC25FF"/>
    <w:rsid w:val="55004C52"/>
    <w:rsid w:val="55343888"/>
    <w:rsid w:val="55936113"/>
    <w:rsid w:val="55A8247A"/>
    <w:rsid w:val="55BC55D7"/>
    <w:rsid w:val="55F15C91"/>
    <w:rsid w:val="56075F3C"/>
    <w:rsid w:val="56102454"/>
    <w:rsid w:val="56145AB7"/>
    <w:rsid w:val="56266EC8"/>
    <w:rsid w:val="562B04A9"/>
    <w:rsid w:val="564E4DCF"/>
    <w:rsid w:val="567636E3"/>
    <w:rsid w:val="56C70FA1"/>
    <w:rsid w:val="56CD0749"/>
    <w:rsid w:val="56E03E3A"/>
    <w:rsid w:val="56E7733D"/>
    <w:rsid w:val="56F1577D"/>
    <w:rsid w:val="571B1DC2"/>
    <w:rsid w:val="571D7D2F"/>
    <w:rsid w:val="57A561A5"/>
    <w:rsid w:val="57B40DF6"/>
    <w:rsid w:val="5813415A"/>
    <w:rsid w:val="583716F6"/>
    <w:rsid w:val="584D2F1E"/>
    <w:rsid w:val="585B0056"/>
    <w:rsid w:val="5873611F"/>
    <w:rsid w:val="58CC6994"/>
    <w:rsid w:val="58CE6A7C"/>
    <w:rsid w:val="58DF52C2"/>
    <w:rsid w:val="58FC3C67"/>
    <w:rsid w:val="590C2990"/>
    <w:rsid w:val="592378D1"/>
    <w:rsid w:val="59751305"/>
    <w:rsid w:val="597D1376"/>
    <w:rsid w:val="597D3F33"/>
    <w:rsid w:val="59896AC3"/>
    <w:rsid w:val="59C60D89"/>
    <w:rsid w:val="59D3755A"/>
    <w:rsid w:val="59F93418"/>
    <w:rsid w:val="5A1F1273"/>
    <w:rsid w:val="5A4022A1"/>
    <w:rsid w:val="5A403B69"/>
    <w:rsid w:val="5A461468"/>
    <w:rsid w:val="5A550D03"/>
    <w:rsid w:val="5A813B89"/>
    <w:rsid w:val="5A8E4D39"/>
    <w:rsid w:val="5AA37074"/>
    <w:rsid w:val="5ABD5C0F"/>
    <w:rsid w:val="5AE2065A"/>
    <w:rsid w:val="5AEA690A"/>
    <w:rsid w:val="5B025FA0"/>
    <w:rsid w:val="5B262E07"/>
    <w:rsid w:val="5B333813"/>
    <w:rsid w:val="5B5A4D58"/>
    <w:rsid w:val="5B5A6C28"/>
    <w:rsid w:val="5B6C1B96"/>
    <w:rsid w:val="5B805F34"/>
    <w:rsid w:val="5B8C6711"/>
    <w:rsid w:val="5BA06A0B"/>
    <w:rsid w:val="5BBC5B8A"/>
    <w:rsid w:val="5BF00AB7"/>
    <w:rsid w:val="5C05131C"/>
    <w:rsid w:val="5C0A1EEA"/>
    <w:rsid w:val="5C1E5B95"/>
    <w:rsid w:val="5C673BD2"/>
    <w:rsid w:val="5C6A2100"/>
    <w:rsid w:val="5C7B7CD3"/>
    <w:rsid w:val="5CA27078"/>
    <w:rsid w:val="5CA63279"/>
    <w:rsid w:val="5D1E6B21"/>
    <w:rsid w:val="5D2248F9"/>
    <w:rsid w:val="5D256B04"/>
    <w:rsid w:val="5D3775A9"/>
    <w:rsid w:val="5D417EE5"/>
    <w:rsid w:val="5D69192D"/>
    <w:rsid w:val="5D7010E4"/>
    <w:rsid w:val="5D954487"/>
    <w:rsid w:val="5DB50FC8"/>
    <w:rsid w:val="5DE73F32"/>
    <w:rsid w:val="5DFA28B9"/>
    <w:rsid w:val="5E1547AB"/>
    <w:rsid w:val="5E1668E5"/>
    <w:rsid w:val="5E1C73D5"/>
    <w:rsid w:val="5E1E6F45"/>
    <w:rsid w:val="5E385D9A"/>
    <w:rsid w:val="5E455495"/>
    <w:rsid w:val="5E6C1E1A"/>
    <w:rsid w:val="5E6D63B5"/>
    <w:rsid w:val="5E736312"/>
    <w:rsid w:val="5EB20809"/>
    <w:rsid w:val="5EEA439F"/>
    <w:rsid w:val="5F006C0B"/>
    <w:rsid w:val="5F3A1A61"/>
    <w:rsid w:val="5F5B109E"/>
    <w:rsid w:val="5F630CE1"/>
    <w:rsid w:val="5F9C73F6"/>
    <w:rsid w:val="5FAB0B0A"/>
    <w:rsid w:val="5FEC3FB8"/>
    <w:rsid w:val="601179FE"/>
    <w:rsid w:val="601678B0"/>
    <w:rsid w:val="606F1135"/>
    <w:rsid w:val="60715EBD"/>
    <w:rsid w:val="60873C28"/>
    <w:rsid w:val="609A63CB"/>
    <w:rsid w:val="60A5215B"/>
    <w:rsid w:val="60AA140F"/>
    <w:rsid w:val="60AC17CE"/>
    <w:rsid w:val="60B67FA2"/>
    <w:rsid w:val="60E5683B"/>
    <w:rsid w:val="60F3230D"/>
    <w:rsid w:val="61352834"/>
    <w:rsid w:val="61364095"/>
    <w:rsid w:val="617659DA"/>
    <w:rsid w:val="61B07EFE"/>
    <w:rsid w:val="622F028C"/>
    <w:rsid w:val="625C7610"/>
    <w:rsid w:val="62B115B7"/>
    <w:rsid w:val="62CA5F6E"/>
    <w:rsid w:val="62CE3FB1"/>
    <w:rsid w:val="62DE1054"/>
    <w:rsid w:val="62F10AA7"/>
    <w:rsid w:val="630941EF"/>
    <w:rsid w:val="63210187"/>
    <w:rsid w:val="637568D8"/>
    <w:rsid w:val="63957DBF"/>
    <w:rsid w:val="63F72345"/>
    <w:rsid w:val="64606968"/>
    <w:rsid w:val="64B55ABA"/>
    <w:rsid w:val="64F1139E"/>
    <w:rsid w:val="64F9272E"/>
    <w:rsid w:val="65095C98"/>
    <w:rsid w:val="65134450"/>
    <w:rsid w:val="652C7F48"/>
    <w:rsid w:val="652F2ADF"/>
    <w:rsid w:val="65301C13"/>
    <w:rsid w:val="653662AC"/>
    <w:rsid w:val="6544136A"/>
    <w:rsid w:val="6549589D"/>
    <w:rsid w:val="654E302D"/>
    <w:rsid w:val="65565BC7"/>
    <w:rsid w:val="659A0911"/>
    <w:rsid w:val="65AC3F55"/>
    <w:rsid w:val="65B20101"/>
    <w:rsid w:val="65F05214"/>
    <w:rsid w:val="65F11B2B"/>
    <w:rsid w:val="65FA7278"/>
    <w:rsid w:val="668705FD"/>
    <w:rsid w:val="66B14FA7"/>
    <w:rsid w:val="670B064E"/>
    <w:rsid w:val="672A51EB"/>
    <w:rsid w:val="673827F8"/>
    <w:rsid w:val="67454FBA"/>
    <w:rsid w:val="6784302A"/>
    <w:rsid w:val="67B643BB"/>
    <w:rsid w:val="67D7676F"/>
    <w:rsid w:val="67F44632"/>
    <w:rsid w:val="68436403"/>
    <w:rsid w:val="684D00DD"/>
    <w:rsid w:val="68694169"/>
    <w:rsid w:val="68DF76B2"/>
    <w:rsid w:val="68E5081B"/>
    <w:rsid w:val="68FF42A9"/>
    <w:rsid w:val="6935516E"/>
    <w:rsid w:val="69644C5A"/>
    <w:rsid w:val="69747FEF"/>
    <w:rsid w:val="6987458B"/>
    <w:rsid w:val="698839E2"/>
    <w:rsid w:val="699E3D20"/>
    <w:rsid w:val="699E6A4E"/>
    <w:rsid w:val="699F0F2C"/>
    <w:rsid w:val="69A52F73"/>
    <w:rsid w:val="69AC7304"/>
    <w:rsid w:val="69C069D9"/>
    <w:rsid w:val="69CD5479"/>
    <w:rsid w:val="6A087133"/>
    <w:rsid w:val="6A0E088E"/>
    <w:rsid w:val="6A40641A"/>
    <w:rsid w:val="6A5F3571"/>
    <w:rsid w:val="6A615111"/>
    <w:rsid w:val="6AA70D7A"/>
    <w:rsid w:val="6B3F0BC2"/>
    <w:rsid w:val="6B472A18"/>
    <w:rsid w:val="6B4D604C"/>
    <w:rsid w:val="6B4E2772"/>
    <w:rsid w:val="6B675BB6"/>
    <w:rsid w:val="6B7E7F0E"/>
    <w:rsid w:val="6BE93557"/>
    <w:rsid w:val="6BEA4BE8"/>
    <w:rsid w:val="6C040922"/>
    <w:rsid w:val="6C052C41"/>
    <w:rsid w:val="6C0D280C"/>
    <w:rsid w:val="6C0E0839"/>
    <w:rsid w:val="6C0E23B3"/>
    <w:rsid w:val="6C126299"/>
    <w:rsid w:val="6C135E24"/>
    <w:rsid w:val="6C1E1031"/>
    <w:rsid w:val="6C6D5C22"/>
    <w:rsid w:val="6C8809D0"/>
    <w:rsid w:val="6C896BD6"/>
    <w:rsid w:val="6CBA0E0B"/>
    <w:rsid w:val="6CD62D60"/>
    <w:rsid w:val="6D0B1AA9"/>
    <w:rsid w:val="6D4E3EEF"/>
    <w:rsid w:val="6D5A560A"/>
    <w:rsid w:val="6DDD0EB6"/>
    <w:rsid w:val="6E2A14A6"/>
    <w:rsid w:val="6E4C6CF2"/>
    <w:rsid w:val="6E6538E3"/>
    <w:rsid w:val="6E653F40"/>
    <w:rsid w:val="6E6B61EE"/>
    <w:rsid w:val="6E761462"/>
    <w:rsid w:val="6E9D18C8"/>
    <w:rsid w:val="6EC063FF"/>
    <w:rsid w:val="6EF72E72"/>
    <w:rsid w:val="6F08066E"/>
    <w:rsid w:val="6F432922"/>
    <w:rsid w:val="6F4C202C"/>
    <w:rsid w:val="6F514E41"/>
    <w:rsid w:val="6F9558A7"/>
    <w:rsid w:val="6FA43244"/>
    <w:rsid w:val="6FB053F8"/>
    <w:rsid w:val="6FE3618E"/>
    <w:rsid w:val="6FF66729"/>
    <w:rsid w:val="7025787B"/>
    <w:rsid w:val="70311228"/>
    <w:rsid w:val="7081192D"/>
    <w:rsid w:val="70A6503F"/>
    <w:rsid w:val="70AE06DD"/>
    <w:rsid w:val="70C22E93"/>
    <w:rsid w:val="70CA5564"/>
    <w:rsid w:val="70EA6BBD"/>
    <w:rsid w:val="70F5691F"/>
    <w:rsid w:val="71053A62"/>
    <w:rsid w:val="710C06A2"/>
    <w:rsid w:val="710E4B9E"/>
    <w:rsid w:val="71214DA3"/>
    <w:rsid w:val="712764B8"/>
    <w:rsid w:val="71294C63"/>
    <w:rsid w:val="71302066"/>
    <w:rsid w:val="714D5798"/>
    <w:rsid w:val="7163221C"/>
    <w:rsid w:val="7164693A"/>
    <w:rsid w:val="71764119"/>
    <w:rsid w:val="717E2674"/>
    <w:rsid w:val="71A9586F"/>
    <w:rsid w:val="71BA19B4"/>
    <w:rsid w:val="71EA68CC"/>
    <w:rsid w:val="71F257AD"/>
    <w:rsid w:val="71FE3800"/>
    <w:rsid w:val="72091181"/>
    <w:rsid w:val="72441629"/>
    <w:rsid w:val="724972A2"/>
    <w:rsid w:val="72594E72"/>
    <w:rsid w:val="72662936"/>
    <w:rsid w:val="72665B1C"/>
    <w:rsid w:val="72D105A6"/>
    <w:rsid w:val="730E59CF"/>
    <w:rsid w:val="73293BCE"/>
    <w:rsid w:val="732958B2"/>
    <w:rsid w:val="732B0626"/>
    <w:rsid w:val="733C0A4C"/>
    <w:rsid w:val="734756FA"/>
    <w:rsid w:val="73512899"/>
    <w:rsid w:val="73705DD6"/>
    <w:rsid w:val="737E3600"/>
    <w:rsid w:val="73A5589C"/>
    <w:rsid w:val="73C66A0B"/>
    <w:rsid w:val="73F30E80"/>
    <w:rsid w:val="743C2DF9"/>
    <w:rsid w:val="74656A36"/>
    <w:rsid w:val="74A2358B"/>
    <w:rsid w:val="74A5102B"/>
    <w:rsid w:val="74CD6029"/>
    <w:rsid w:val="753546A4"/>
    <w:rsid w:val="75373EB2"/>
    <w:rsid w:val="758168E0"/>
    <w:rsid w:val="759E7675"/>
    <w:rsid w:val="75B368C9"/>
    <w:rsid w:val="75B50FBF"/>
    <w:rsid w:val="75B82369"/>
    <w:rsid w:val="75D33ABC"/>
    <w:rsid w:val="75D902C3"/>
    <w:rsid w:val="75DC6CD0"/>
    <w:rsid w:val="7615137F"/>
    <w:rsid w:val="764E108B"/>
    <w:rsid w:val="767C5782"/>
    <w:rsid w:val="768B7285"/>
    <w:rsid w:val="7697598C"/>
    <w:rsid w:val="769F0150"/>
    <w:rsid w:val="76E160E1"/>
    <w:rsid w:val="76EA0852"/>
    <w:rsid w:val="770116B3"/>
    <w:rsid w:val="77272FB4"/>
    <w:rsid w:val="77641C91"/>
    <w:rsid w:val="776C2249"/>
    <w:rsid w:val="77773B6B"/>
    <w:rsid w:val="777B346D"/>
    <w:rsid w:val="77986A34"/>
    <w:rsid w:val="77B225FA"/>
    <w:rsid w:val="77BF7A9D"/>
    <w:rsid w:val="77EF4630"/>
    <w:rsid w:val="78025F51"/>
    <w:rsid w:val="78072740"/>
    <w:rsid w:val="78474167"/>
    <w:rsid w:val="785379BB"/>
    <w:rsid w:val="7886747A"/>
    <w:rsid w:val="78B15FBA"/>
    <w:rsid w:val="78D5010B"/>
    <w:rsid w:val="78E61181"/>
    <w:rsid w:val="791A0996"/>
    <w:rsid w:val="79210FE8"/>
    <w:rsid w:val="79747CA8"/>
    <w:rsid w:val="79884C21"/>
    <w:rsid w:val="798E0359"/>
    <w:rsid w:val="79E147B0"/>
    <w:rsid w:val="79EE720A"/>
    <w:rsid w:val="79F67E17"/>
    <w:rsid w:val="7A546DF7"/>
    <w:rsid w:val="7A627951"/>
    <w:rsid w:val="7AC6155E"/>
    <w:rsid w:val="7AD061B0"/>
    <w:rsid w:val="7AE65586"/>
    <w:rsid w:val="7AF14645"/>
    <w:rsid w:val="7B6419EB"/>
    <w:rsid w:val="7B6B319F"/>
    <w:rsid w:val="7BD4329B"/>
    <w:rsid w:val="7C13478C"/>
    <w:rsid w:val="7C851E1F"/>
    <w:rsid w:val="7CCF796A"/>
    <w:rsid w:val="7CE12B7A"/>
    <w:rsid w:val="7CFD2DD0"/>
    <w:rsid w:val="7D082E04"/>
    <w:rsid w:val="7D5B4488"/>
    <w:rsid w:val="7D5C3053"/>
    <w:rsid w:val="7D747D48"/>
    <w:rsid w:val="7D7E09E2"/>
    <w:rsid w:val="7DB8732B"/>
    <w:rsid w:val="7DB92C8E"/>
    <w:rsid w:val="7DF95286"/>
    <w:rsid w:val="7E9F2C05"/>
    <w:rsid w:val="7ECC11DD"/>
    <w:rsid w:val="7ED55D7F"/>
    <w:rsid w:val="7ED86A75"/>
    <w:rsid w:val="7EF23C33"/>
    <w:rsid w:val="7F596289"/>
    <w:rsid w:val="7F626BD2"/>
    <w:rsid w:val="7F813019"/>
    <w:rsid w:val="7F99243D"/>
    <w:rsid w:val="7FB247BA"/>
    <w:rsid w:val="7FB956AE"/>
    <w:rsid w:val="7FC9597A"/>
    <w:rsid w:val="7FD84171"/>
    <w:rsid w:val="7FEF3FCC"/>
    <w:rsid w:val="7FF72FB7"/>
    <w:rsid w:val="7FFE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8"/>
    <w:qFormat/>
    <w:uiPriority w:val="0"/>
    <w:pPr>
      <w:spacing w:afterLines="50" w:line="640" w:lineRule="exact"/>
      <w:outlineLvl w:val="0"/>
    </w:pPr>
    <w:rPr>
      <w:rFonts w:ascii="方正小标宋简体" w:hAnsi="Times New Roman" w:eastAsia="方正小标宋简体" w:cs="Times New Roman"/>
      <w:sz w:val="44"/>
      <w:szCs w:val="36"/>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名称2"/>
    <w:basedOn w:val="4"/>
    <w:qFormat/>
    <w:uiPriority w:val="0"/>
    <w:pPr>
      <w:spacing w:afterLines="100"/>
    </w:pPr>
    <w:rPr>
      <w:b w:val="0"/>
      <w:sz w:val="20"/>
    </w:rPr>
  </w:style>
  <w:style w:type="paragraph" w:customStyle="1" w:styleId="4">
    <w:name w:val="名称"/>
    <w:basedOn w:val="1"/>
    <w:link w:val="20"/>
    <w:qFormat/>
    <w:uiPriority w:val="0"/>
    <w:pPr>
      <w:jc w:val="center"/>
    </w:pPr>
    <w:rPr>
      <w:b/>
      <w:kern w:val="0"/>
      <w:sz w:val="44"/>
      <w:szCs w:val="20"/>
    </w:rPr>
  </w:style>
  <w:style w:type="paragraph" w:styleId="5">
    <w:name w:val="annotation subject"/>
    <w:basedOn w:val="6"/>
    <w:next w:val="6"/>
    <w:link w:val="22"/>
    <w:semiHidden/>
    <w:unhideWhenUsed/>
    <w:qFormat/>
    <w:uiPriority w:val="99"/>
    <w:rPr>
      <w:b/>
      <w:bCs/>
    </w:rPr>
  </w:style>
  <w:style w:type="paragraph" w:styleId="6">
    <w:name w:val="annotation text"/>
    <w:basedOn w:val="1"/>
    <w:link w:val="21"/>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5">
    <w:name w:val="页眉 字符"/>
    <w:basedOn w:val="11"/>
    <w:link w:val="9"/>
    <w:semiHidden/>
    <w:qFormat/>
    <w:uiPriority w:val="99"/>
    <w:rPr>
      <w:sz w:val="18"/>
      <w:szCs w:val="18"/>
    </w:rPr>
  </w:style>
  <w:style w:type="character" w:customStyle="1" w:styleId="16">
    <w:name w:val="页脚 字符"/>
    <w:basedOn w:val="11"/>
    <w:link w:val="8"/>
    <w:qFormat/>
    <w:uiPriority w:val="99"/>
    <w:rPr>
      <w:sz w:val="18"/>
      <w:szCs w:val="18"/>
    </w:rPr>
  </w:style>
  <w:style w:type="character" w:customStyle="1" w:styleId="17">
    <w:name w:val="批注框文本 字符"/>
    <w:basedOn w:val="11"/>
    <w:link w:val="7"/>
    <w:semiHidden/>
    <w:qFormat/>
    <w:uiPriority w:val="99"/>
    <w:rPr>
      <w:sz w:val="18"/>
      <w:szCs w:val="18"/>
    </w:rPr>
  </w:style>
  <w:style w:type="character" w:customStyle="1" w:styleId="18">
    <w:name w:val="标题 1 字符"/>
    <w:basedOn w:val="11"/>
    <w:link w:val="2"/>
    <w:qFormat/>
    <w:uiPriority w:val="0"/>
    <w:rPr>
      <w:rFonts w:ascii="方正小标宋简体" w:hAnsi="Times New Roman" w:eastAsia="方正小标宋简体" w:cs="Times New Roman"/>
      <w:kern w:val="0"/>
      <w:sz w:val="44"/>
      <w:szCs w:val="36"/>
    </w:rPr>
  </w:style>
  <w:style w:type="paragraph" w:styleId="19">
    <w:name w:val="List Paragraph"/>
    <w:basedOn w:val="1"/>
    <w:qFormat/>
    <w:uiPriority w:val="34"/>
    <w:pPr>
      <w:ind w:firstLine="420" w:firstLineChars="200"/>
    </w:pPr>
  </w:style>
  <w:style w:type="character" w:customStyle="1" w:styleId="20">
    <w:name w:val="名称 Char"/>
    <w:link w:val="4"/>
    <w:qFormat/>
    <w:uiPriority w:val="0"/>
    <w:rPr>
      <w:b/>
      <w:kern w:val="0"/>
      <w:sz w:val="44"/>
      <w:szCs w:val="20"/>
    </w:rPr>
  </w:style>
  <w:style w:type="character" w:customStyle="1" w:styleId="21">
    <w:name w:val="批注文字 字符"/>
    <w:basedOn w:val="11"/>
    <w:link w:val="6"/>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ADA97-9F54-468E-9AF1-C3715DF5F171}">
  <ds:schemaRefs/>
</ds:datastoreItem>
</file>

<file path=docProps/app.xml><?xml version="1.0" encoding="utf-8"?>
<Properties xmlns="http://schemas.openxmlformats.org/officeDocument/2006/extended-properties" xmlns:vt="http://schemas.openxmlformats.org/officeDocument/2006/docPropsVTypes">
  <Template>Normal</Template>
  <Company>SAMR</Company>
  <Pages>19</Pages>
  <Words>1517</Words>
  <Characters>8647</Characters>
  <Lines>72</Lines>
  <Paragraphs>20</Paragraphs>
  <TotalTime>11</TotalTime>
  <ScaleCrop>false</ScaleCrop>
  <LinksUpToDate>false</LinksUpToDate>
  <CharactersWithSpaces>10144</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2020-03-29T11:17:00Z</dcterms:created>
  <dc:creator>钱磊</dc:creator>
  <cp:lastModifiedBy>李炜琛</cp:lastModifiedBy>
  <cp:lastPrinted>2020-03-25T06:15:00Z</cp:lastPrinted>
  <dcterms:modified xsi:type="dcterms:W3CDTF">2020-04-14T09:23:56Z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