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spacing w:after="156"/>
        <w:jc w:val="both"/>
        <w:rPr>
          <w:rStyle w:val="11"/>
          <w:rFonts w:ascii="Times New Roman"/>
          <w:b w:val="0"/>
        </w:rPr>
      </w:pPr>
      <w:bookmarkStart w:id="0" w:name="_Toc527378180"/>
      <w:bookmarkStart w:id="1" w:name="_Toc20821"/>
      <w:bookmarkStart w:id="2" w:name="_Toc528826261"/>
      <w:bookmarkStart w:id="3" w:name="_Toc527306885"/>
      <w:bookmarkStart w:id="4" w:name="_Toc529343115"/>
      <w:bookmarkStart w:id="5" w:name="_Toc527562385"/>
    </w:p>
    <w:p>
      <w:pPr>
        <w:pStyle w:val="2"/>
        <w:overflowPunct w:val="0"/>
        <w:spacing w:after="156"/>
        <w:rPr>
          <w:rStyle w:val="11"/>
          <w:rFonts w:ascii="Times New Roman"/>
          <w:b w:val="0"/>
        </w:rPr>
      </w:pPr>
      <w:r>
        <w:rPr>
          <w:rStyle w:val="11"/>
          <w:rFonts w:hint="eastAsia" w:ascii="Times New Roman"/>
          <w:b w:val="0"/>
        </w:rPr>
        <w:t>国家市场监督管理总局</w:t>
      </w:r>
      <w:r>
        <w:rPr>
          <w:rStyle w:val="11"/>
          <w:rFonts w:hint="eastAsia" w:ascii="Times New Roman"/>
          <w:b w:val="0"/>
        </w:rPr>
        <w:br w:type="textWrapping"/>
      </w:r>
      <w:r>
        <w:rPr>
          <w:rStyle w:val="11"/>
          <w:rFonts w:hint="eastAsia" w:ascii="Times New Roman"/>
          <w:b w:val="0"/>
        </w:rPr>
        <w:t>行政处罚决定书</w:t>
      </w:r>
      <w:bookmarkEnd w:id="0"/>
      <w:bookmarkEnd w:id="1"/>
      <w:bookmarkEnd w:id="2"/>
      <w:bookmarkEnd w:id="3"/>
      <w:bookmarkEnd w:id="4"/>
      <w:bookmarkEnd w:id="5"/>
    </w:p>
    <w:p>
      <w:pPr>
        <w:pStyle w:val="3"/>
        <w:overflowPunct w:val="0"/>
        <w:jc w:val="center"/>
        <w:rPr>
          <w:rFonts w:ascii="Times New Roman"/>
          <w:sz w:val="24"/>
        </w:rPr>
      </w:pPr>
      <w:r>
        <w:rPr>
          <w:rFonts w:hint="eastAsia" w:ascii="Times New Roman"/>
          <w:sz w:val="32"/>
          <w:szCs w:val="32"/>
        </w:rPr>
        <w:t>国市监处〔2019〕20号</w:t>
      </w:r>
    </w:p>
    <w:p>
      <w:pPr>
        <w:widowControl/>
        <w:overflowPunct w:val="0"/>
        <w:adjustRightInd w:val="0"/>
        <w:snapToGrid w:val="0"/>
        <w:spacing w:line="560" w:lineRule="exact"/>
        <w:ind w:firstLine="640" w:firstLineChars="200"/>
        <w:rPr>
          <w:rFonts w:eastAsia="黑体" w:cs="Arial"/>
          <w:sz w:val="32"/>
          <w:szCs w:val="32"/>
        </w:rPr>
      </w:pPr>
      <w:bookmarkStart w:id="6" w:name="litigantInfo"/>
      <w:bookmarkEnd w:id="6"/>
      <w:r>
        <w:rPr>
          <w:rFonts w:hint="eastAsia" w:eastAsia="黑体" w:cs="Arial"/>
          <w:sz w:val="32"/>
          <w:szCs w:val="32"/>
        </w:rPr>
        <w:t>一、当事人情况</w:t>
      </w:r>
    </w:p>
    <w:p>
      <w:pPr>
        <w:widowControl/>
        <w:overflowPunct w:val="0"/>
        <w:adjustRightInd w:val="0"/>
        <w:spacing w:line="560" w:lineRule="exact"/>
        <w:ind w:firstLine="640" w:firstLineChars="200"/>
        <w:rPr>
          <w:rFonts w:eastAsia="仿宋_GB2312"/>
          <w:sz w:val="32"/>
          <w:szCs w:val="32"/>
        </w:rPr>
      </w:pPr>
      <w:r>
        <w:rPr>
          <w:rFonts w:hint="eastAsia" w:eastAsia="仿宋_GB2312"/>
          <w:sz w:val="32"/>
          <w:szCs w:val="32"/>
        </w:rPr>
        <w:t>潍坊普云惠医药有限公司，住所：山东省潍坊市坊子区凤凰街168号1号楼。公司类型：有限责任公司(自然人投资或控股)。注册资本：99万人民币。法定代表人：卢国华。经营范围：销售：中成药、化学原料药、化学药制剂、抗生素（冷藏冷冻药品除外）（以上范围有效期限以许可证为准）、饲料添加剂、食品添加剂、化工产品（不含危险化学品及易制毒化学品）。统一信用代码：</w:t>
      </w:r>
      <w:r>
        <w:rPr>
          <w:rFonts w:eastAsia="仿宋_GB2312"/>
          <w:sz w:val="32"/>
          <w:szCs w:val="32"/>
        </w:rPr>
        <w:t>913707057797429473</w:t>
      </w:r>
      <w:r>
        <w:rPr>
          <w:rFonts w:hint="eastAsia" w:eastAsia="仿宋_GB2312"/>
          <w:sz w:val="32"/>
          <w:szCs w:val="32"/>
        </w:rPr>
        <w:t>。</w:t>
      </w:r>
    </w:p>
    <w:p>
      <w:pPr>
        <w:widowControl/>
        <w:overflowPunct w:val="0"/>
        <w:adjustRightInd w:val="0"/>
        <w:spacing w:line="560" w:lineRule="exact"/>
        <w:ind w:firstLine="640" w:firstLineChars="200"/>
        <w:rPr>
          <w:rFonts w:eastAsia="黑体" w:cs="Arial"/>
          <w:sz w:val="32"/>
          <w:szCs w:val="32"/>
        </w:rPr>
      </w:pPr>
      <w:r>
        <w:rPr>
          <w:rFonts w:hint="eastAsia" w:eastAsia="黑体" w:cs="Arial"/>
          <w:sz w:val="32"/>
          <w:szCs w:val="32"/>
        </w:rPr>
        <w:t>二、案件来源及调查经过</w:t>
      </w:r>
    </w:p>
    <w:p>
      <w:pPr>
        <w:overflowPunct w:val="0"/>
        <w:spacing w:line="594" w:lineRule="exact"/>
        <w:ind w:firstLine="640" w:firstLineChars="200"/>
        <w:rPr>
          <w:rFonts w:eastAsia="仿宋_GB2312"/>
          <w:color w:val="000000"/>
          <w:sz w:val="32"/>
          <w:szCs w:val="32"/>
        </w:rPr>
      </w:pPr>
      <w:r>
        <w:rPr>
          <w:rFonts w:hint="eastAsia" w:eastAsia="仿宋_GB2312" w:cs="方正仿宋_GBK"/>
          <w:color w:val="000000"/>
          <w:sz w:val="32"/>
          <w:szCs w:val="32"/>
        </w:rPr>
        <w:t>根据举报，本机关依法于</w:t>
      </w:r>
      <w:r>
        <w:rPr>
          <w:rFonts w:hint="eastAsia" w:eastAsia="仿宋_GB2312"/>
          <w:color w:val="000000"/>
          <w:sz w:val="32"/>
          <w:szCs w:val="32"/>
        </w:rPr>
        <w:t>2019</w:t>
      </w:r>
      <w:r>
        <w:rPr>
          <w:rFonts w:hint="eastAsia" w:eastAsia="仿宋_GB2312" w:cs="方正仿宋_GBK"/>
          <w:color w:val="000000"/>
          <w:sz w:val="32"/>
          <w:szCs w:val="32"/>
        </w:rPr>
        <w:t>年</w:t>
      </w:r>
      <w:r>
        <w:rPr>
          <w:rFonts w:hint="eastAsia" w:eastAsia="仿宋_GB2312"/>
          <w:color w:val="000000"/>
          <w:sz w:val="32"/>
          <w:szCs w:val="32"/>
        </w:rPr>
        <w:t>5</w:t>
      </w:r>
      <w:r>
        <w:rPr>
          <w:rFonts w:hint="eastAsia" w:eastAsia="仿宋_GB2312" w:cs="方正仿宋_GBK"/>
          <w:color w:val="000000"/>
          <w:sz w:val="32"/>
          <w:szCs w:val="32"/>
        </w:rPr>
        <w:t>月</w:t>
      </w:r>
      <w:r>
        <w:rPr>
          <w:rFonts w:hint="eastAsia" w:eastAsia="仿宋_GB2312"/>
          <w:color w:val="000000"/>
          <w:sz w:val="32"/>
          <w:szCs w:val="32"/>
        </w:rPr>
        <w:t>23</w:t>
      </w:r>
      <w:r>
        <w:rPr>
          <w:rFonts w:hint="eastAsia" w:eastAsia="仿宋_GB2312" w:cs="方正仿宋_GBK"/>
          <w:color w:val="000000"/>
          <w:sz w:val="32"/>
          <w:szCs w:val="32"/>
        </w:rPr>
        <w:t>日对当事人涉嫌实施原料药垄断行为开展反垄断调查。</w:t>
      </w:r>
    </w:p>
    <w:p>
      <w:pPr>
        <w:widowControl/>
        <w:overflowPunct w:val="0"/>
        <w:adjustRightInd w:val="0"/>
        <w:spacing w:line="560" w:lineRule="exact"/>
        <w:ind w:firstLine="640" w:firstLineChars="200"/>
        <w:rPr>
          <w:rFonts w:eastAsia="黑体" w:cs="Arial"/>
          <w:sz w:val="32"/>
          <w:szCs w:val="32"/>
        </w:rPr>
      </w:pPr>
      <w:r>
        <w:rPr>
          <w:rFonts w:hint="eastAsia" w:eastAsia="黑体" w:cs="Arial"/>
          <w:sz w:val="32"/>
          <w:szCs w:val="32"/>
        </w:rPr>
        <w:t>三、违法事实及相关证据</w:t>
      </w:r>
    </w:p>
    <w:p>
      <w:pPr>
        <w:overflowPunct w:val="0"/>
        <w:spacing w:line="594" w:lineRule="exact"/>
        <w:ind w:firstLine="640" w:firstLineChars="200"/>
        <w:rPr>
          <w:rFonts w:eastAsia="仿宋_GB2312" w:cs="方正黑体_GBK"/>
          <w:b/>
          <w:sz w:val="32"/>
          <w:szCs w:val="32"/>
        </w:rPr>
      </w:pPr>
      <w:r>
        <w:rPr>
          <w:rFonts w:hint="eastAsia" w:eastAsia="仿宋_GB2312" w:cs="方正黑体_GBK"/>
          <w:sz w:val="32"/>
          <w:szCs w:val="32"/>
        </w:rPr>
        <w:t>5月23日上午9时许，本机关执法人员进入当事人经营场所进行调查，出具《调查通知书》，并出示执法证件。调查期间，当事人法定代表人强硬拒绝提供采购、销售葡萄糖酸钙等原料药的票证、单据、记录、会计账簿等资料，阻挠执法人员查阅公司电子数据、文件资料，拒绝在《调查通知书》送达回证上签字，并多次表示“不同意执法人员开展调查”“不同意提取证据材料”。</w:t>
      </w:r>
    </w:p>
    <w:p>
      <w:pPr>
        <w:overflowPunct w:val="0"/>
        <w:spacing w:line="594" w:lineRule="exact"/>
        <w:ind w:firstLine="640" w:firstLineChars="200"/>
        <w:rPr>
          <w:rFonts w:eastAsia="仿宋_GB2312" w:cs="方正黑体_GBK"/>
          <w:sz w:val="32"/>
          <w:szCs w:val="32"/>
        </w:rPr>
      </w:pPr>
      <w:r>
        <w:rPr>
          <w:rFonts w:hint="eastAsia" w:eastAsia="仿宋_GB2312" w:cs="方正黑体_GBK"/>
          <w:sz w:val="32"/>
          <w:szCs w:val="32"/>
        </w:rPr>
        <w:t>调查过程中，当事人业务部人员通过微信告知相关人员拔除U盘并隐匿。当事人法定代表人将打印出的记录涉嫌实施垄断行为的微信聊天记录等证据材料当众撕毁，执法人员警告其行为构成违法的情况下，当事人法定代表人依然继续销毁证据材料。调查询问时，当事人法定代表人谎称公司2017年底的采购合同以及与原料药生产企业签订的合作协议等材料，均因发生交通事故丢失，后经核实，上述资料被转移而未丢失。</w:t>
      </w:r>
    </w:p>
    <w:p>
      <w:pPr>
        <w:widowControl/>
        <w:overflowPunct w:val="0"/>
        <w:adjustRightInd w:val="0"/>
        <w:spacing w:line="560" w:lineRule="exact"/>
        <w:ind w:firstLine="640" w:firstLineChars="200"/>
        <w:rPr>
          <w:rFonts w:eastAsia="仿宋_GB2312"/>
          <w:sz w:val="32"/>
          <w:szCs w:val="32"/>
        </w:rPr>
      </w:pPr>
      <w:r>
        <w:rPr>
          <w:rFonts w:hint="eastAsia" w:eastAsia="仿宋_GB2312" w:cs="方正仿宋_GBK"/>
          <w:sz w:val="32"/>
          <w:szCs w:val="32"/>
        </w:rPr>
        <w:t>以上事实，有执法记录仪等记录的影像资料、调查询问笔录、微信聊天记录、信息沟通记录等证据为证。</w:t>
      </w:r>
    </w:p>
    <w:p>
      <w:pPr>
        <w:widowControl/>
        <w:overflowPunct w:val="0"/>
        <w:adjustRightInd w:val="0"/>
        <w:spacing w:line="560" w:lineRule="exact"/>
        <w:ind w:firstLine="640" w:firstLineChars="200"/>
        <w:rPr>
          <w:rFonts w:eastAsia="黑体" w:cs="Arial"/>
          <w:sz w:val="32"/>
          <w:szCs w:val="32"/>
        </w:rPr>
      </w:pPr>
      <w:r>
        <w:rPr>
          <w:rFonts w:hint="eastAsia" w:eastAsia="黑体" w:cs="Arial"/>
          <w:sz w:val="32"/>
          <w:szCs w:val="32"/>
        </w:rPr>
        <w:t>四、行政处罚依据和决定</w:t>
      </w:r>
    </w:p>
    <w:p>
      <w:pPr>
        <w:overflowPunct w:val="0"/>
        <w:spacing w:line="594" w:lineRule="exact"/>
        <w:ind w:firstLine="640" w:firstLineChars="200"/>
        <w:rPr>
          <w:rFonts w:eastAsia="仿宋_GB2312" w:cs="方正仿宋_GBK"/>
          <w:sz w:val="32"/>
          <w:szCs w:val="32"/>
        </w:rPr>
      </w:pPr>
      <w:r>
        <w:rPr>
          <w:rFonts w:hint="eastAsia" w:eastAsia="仿宋_GB2312" w:cs="方正仿宋_GBK"/>
          <w:sz w:val="32"/>
          <w:szCs w:val="32"/>
        </w:rPr>
        <w:t>本机关认为，对原料药经销企业依法开展反垄断调查，是预防和制止原料药领域垄断行为，保护市场公平竞争和患者合法权益的重要法律措施。当事人对本机关依法开展的调查不予配合，严重影响了执法工作。</w:t>
      </w:r>
    </w:p>
    <w:p>
      <w:pPr>
        <w:widowControl/>
        <w:overflowPunct w:val="0"/>
        <w:adjustRightInd w:val="0"/>
        <w:spacing w:line="560" w:lineRule="exact"/>
        <w:ind w:firstLine="640" w:firstLineChars="200"/>
        <w:rPr>
          <w:rFonts w:eastAsia="仿宋_GB2312"/>
          <w:sz w:val="32"/>
          <w:szCs w:val="32"/>
        </w:rPr>
      </w:pPr>
      <w:r>
        <w:rPr>
          <w:rFonts w:hint="eastAsia" w:eastAsia="仿宋_GB2312" w:cs="方正仿宋_GBK"/>
          <w:sz w:val="32"/>
          <w:szCs w:val="32"/>
        </w:rPr>
        <w:t>本机关认定，</w:t>
      </w:r>
      <w:r>
        <w:rPr>
          <w:rFonts w:hint="eastAsia" w:eastAsia="仿宋_GB2312" w:cs="方正仿宋_GBK"/>
          <w:color w:val="000000"/>
          <w:sz w:val="32"/>
          <w:szCs w:val="32"/>
        </w:rPr>
        <w:t>当事人的上述行为违反了《中华人民共和国反垄断法》第四十二条规定，构成了拒绝提供有关材料、信息，隐匿、销毁、转移证据，拒绝、阻碍反垄断执法机构调查的违法行为。当事人的上述行为蔑视国家法律权威，暴力抗拒执法调查，性质恶劣、情节严重、影响极坏，应当依法从重处罚。</w:t>
      </w:r>
      <w:r>
        <w:rPr>
          <w:rFonts w:hint="eastAsia" w:eastAsia="仿宋_GB2312" w:cs="方正仿宋_GBK"/>
          <w:sz w:val="32"/>
          <w:szCs w:val="32"/>
        </w:rPr>
        <w:t>依据《中华人民共和国反垄断法》</w:t>
      </w:r>
      <w:r>
        <w:rPr>
          <w:rFonts w:hint="eastAsia" w:eastAsia="仿宋_GB2312" w:cs="方正仿宋_GBK"/>
          <w:color w:val="000000"/>
          <w:sz w:val="32"/>
          <w:szCs w:val="32"/>
        </w:rPr>
        <w:t>第五十二条</w:t>
      </w:r>
      <w:r>
        <w:rPr>
          <w:rFonts w:hint="eastAsia" w:eastAsia="仿宋_GB2312" w:cs="方正仿宋_GBK"/>
          <w:sz w:val="32"/>
          <w:szCs w:val="32"/>
        </w:rPr>
        <w:t>规定，</w:t>
      </w:r>
      <w:r>
        <w:rPr>
          <w:rFonts w:hint="eastAsia" w:eastAsia="仿宋_GB2312" w:cs="方正仿宋_GBK"/>
          <w:color w:val="000000"/>
          <w:sz w:val="32"/>
          <w:szCs w:val="32"/>
        </w:rPr>
        <w:t>本机关决定对当事人处以罚款100万元（大写：人民币壹佰万元整）。</w:t>
      </w:r>
    </w:p>
    <w:p>
      <w:pPr>
        <w:widowControl/>
        <w:overflowPunct w:val="0"/>
        <w:adjustRightInd w:val="0"/>
        <w:spacing w:line="560" w:lineRule="exact"/>
        <w:ind w:firstLine="640" w:firstLineChars="200"/>
        <w:rPr>
          <w:rFonts w:eastAsia="仿宋_GB2312"/>
          <w:sz w:val="32"/>
          <w:szCs w:val="32"/>
        </w:rPr>
      </w:pPr>
      <w:r>
        <w:rPr>
          <w:rFonts w:hint="eastAsia" w:eastAsia="仿宋_GB2312"/>
          <w:sz w:val="32"/>
          <w:szCs w:val="32"/>
        </w:rPr>
        <w:t>依据《中华人民共和国行政处罚法》第四十六条规定，当事人应当自收到本行政处罚决定书之日起十五日内，根据本行政处罚决定书，携缴款码到12家中央财政非税收入收缴代理银行（工、农、中、建、交、中信、光大、招商、邮储、华夏、平安、兴业）任一银行网点或者网上银行缴纳罚款。缴款码：</w:t>
      </w:r>
      <w:r>
        <w:rPr>
          <w:rFonts w:hint="eastAsia" w:ascii="仿宋_GB2312" w:eastAsia="仿宋_GB2312" w:cs="方正仿宋_GBK"/>
          <w:color w:val="000000"/>
          <w:sz w:val="32"/>
          <w:szCs w:val="32"/>
        </w:rPr>
        <w:t>***</w:t>
      </w:r>
      <w:r>
        <w:rPr>
          <w:rFonts w:hint="eastAsia" w:eastAsia="仿宋_GB2312"/>
          <w:sz w:val="32"/>
          <w:szCs w:val="32"/>
        </w:rPr>
        <w:t>。</w:t>
      </w:r>
    </w:p>
    <w:p>
      <w:pPr>
        <w:widowControl/>
        <w:overflowPunct w:val="0"/>
        <w:adjustRightInd w:val="0"/>
        <w:spacing w:line="560" w:lineRule="exact"/>
        <w:ind w:firstLine="640" w:firstLineChars="200"/>
        <w:rPr>
          <w:rFonts w:eastAsia="仿宋_GB2312"/>
          <w:sz w:val="32"/>
          <w:szCs w:val="32"/>
        </w:rPr>
      </w:pPr>
      <w:r>
        <w:rPr>
          <w:rFonts w:hint="eastAsia" w:eastAsia="仿宋_GB2312"/>
          <w:sz w:val="32"/>
          <w:szCs w:val="32"/>
        </w:rPr>
        <w:t>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w:t>
      </w:r>
    </w:p>
    <w:p>
      <w:pPr>
        <w:widowControl/>
        <w:overflowPunct w:val="0"/>
        <w:adjustRightInd w:val="0"/>
        <w:spacing w:line="560" w:lineRule="exact"/>
        <w:ind w:firstLine="640" w:firstLineChars="200"/>
        <w:rPr>
          <w:rFonts w:eastAsia="仿宋_GB2312"/>
          <w:sz w:val="32"/>
          <w:szCs w:val="32"/>
        </w:rPr>
      </w:pPr>
    </w:p>
    <w:p>
      <w:pPr>
        <w:widowControl/>
        <w:overflowPunct w:val="0"/>
        <w:adjustRightInd w:val="0"/>
        <w:spacing w:line="560" w:lineRule="exact"/>
        <w:ind w:firstLine="640" w:firstLineChars="200"/>
        <w:rPr>
          <w:rFonts w:eastAsia="仿宋_GB2312"/>
          <w:sz w:val="32"/>
          <w:szCs w:val="32"/>
        </w:rPr>
      </w:pPr>
    </w:p>
    <w:p>
      <w:pPr>
        <w:widowControl/>
        <w:overflowPunct w:val="0"/>
        <w:adjustRightInd w:val="0"/>
        <w:spacing w:line="560" w:lineRule="exact"/>
        <w:ind w:firstLine="640" w:firstLineChars="200"/>
        <w:rPr>
          <w:rFonts w:eastAsia="仿宋_GB2312"/>
          <w:sz w:val="32"/>
          <w:szCs w:val="32"/>
        </w:rPr>
      </w:pPr>
    </w:p>
    <w:p>
      <w:pPr>
        <w:widowControl/>
        <w:overflowPunct w:val="0"/>
        <w:adjustRightInd w:val="0"/>
        <w:spacing w:line="560" w:lineRule="exact"/>
        <w:ind w:right="320" w:firstLine="640" w:firstLineChars="200"/>
        <w:rPr>
          <w:rFonts w:eastAsia="仿宋_GB2312"/>
          <w:sz w:val="32"/>
          <w:szCs w:val="32"/>
        </w:rPr>
      </w:pPr>
      <w:r>
        <w:rPr>
          <w:rFonts w:hint="eastAsia" w:eastAsia="仿宋_GB2312"/>
          <w:sz w:val="32"/>
          <w:szCs w:val="32"/>
        </w:rPr>
        <w:tab/>
      </w:r>
      <w:r>
        <w:rPr>
          <w:rFonts w:hint="eastAsia" w:eastAsia="仿宋_GB2312"/>
          <w:sz w:val="32"/>
          <w:szCs w:val="32"/>
        </w:rPr>
        <w:tab/>
      </w:r>
      <w:r>
        <w:rPr>
          <w:rFonts w:hint="eastAsia" w:eastAsia="仿宋_GB2312"/>
          <w:sz w:val="32"/>
          <w:szCs w:val="32"/>
        </w:rPr>
        <w:tab/>
      </w:r>
      <w:r>
        <w:rPr>
          <w:rFonts w:hint="eastAsia" w:eastAsia="仿宋_GB2312"/>
          <w:sz w:val="32"/>
          <w:szCs w:val="32"/>
        </w:rPr>
        <w:tab/>
      </w:r>
      <w:r>
        <w:rPr>
          <w:rFonts w:hint="eastAsia" w:eastAsia="仿宋_GB2312"/>
          <w:sz w:val="32"/>
          <w:szCs w:val="32"/>
        </w:rPr>
        <w:tab/>
      </w:r>
      <w:r>
        <w:rPr>
          <w:rFonts w:hint="eastAsia" w:eastAsia="仿宋_GB2312"/>
          <w:sz w:val="32"/>
          <w:szCs w:val="32"/>
        </w:rPr>
        <w:tab/>
      </w:r>
      <w:r>
        <w:rPr>
          <w:rFonts w:hint="eastAsia" w:eastAsia="仿宋_GB2312"/>
          <w:sz w:val="32"/>
          <w:szCs w:val="32"/>
        </w:rPr>
        <w:tab/>
      </w:r>
      <w:r>
        <w:rPr>
          <w:rFonts w:hint="eastAsia" w:eastAsia="仿宋_GB2312"/>
          <w:sz w:val="32"/>
          <w:szCs w:val="32"/>
        </w:rPr>
        <w:t xml:space="preserve"> </w:t>
      </w:r>
      <w:r>
        <w:rPr>
          <w:rFonts w:hint="eastAsia" w:eastAsia="仿宋_GB2312"/>
          <w:sz w:val="32"/>
          <w:szCs w:val="32"/>
          <w:lang w:val="en-US" w:eastAsia="zh-CN"/>
        </w:rPr>
        <w:t xml:space="preserve">    </w:t>
      </w:r>
      <w:r>
        <w:rPr>
          <w:rFonts w:hint="eastAsia" w:ascii="仿宋_GB2312" w:eastAsia="仿宋_GB2312"/>
          <w:sz w:val="32"/>
          <w:szCs w:val="32"/>
        </w:rPr>
        <w:t>市场监管总局</w:t>
      </w:r>
    </w:p>
    <w:p>
      <w:pPr>
        <w:widowControl/>
        <w:overflowPunct w:val="0"/>
        <w:adjustRightInd w:val="0"/>
        <w:spacing w:line="560" w:lineRule="exact"/>
        <w:ind w:firstLine="640" w:firstLineChars="200"/>
        <w:rPr>
          <w:rFonts w:eastAsia="仿宋_GB2312"/>
          <w:sz w:val="32"/>
          <w:szCs w:val="32"/>
        </w:rPr>
      </w:pPr>
      <w:r>
        <w:rPr>
          <w:rFonts w:hint="eastAsia" w:eastAsia="仿宋_GB2312"/>
          <w:sz w:val="32"/>
          <w:szCs w:val="32"/>
        </w:rPr>
        <w:t xml:space="preserve">                    2019年6月28日</w:t>
      </w:r>
      <w:bookmarkStart w:id="7" w:name="_GoBack"/>
      <w:bookmarkEnd w:id="7"/>
    </w:p>
    <w:p>
      <w:pPr>
        <w:overflowPunct w:val="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225527"/>
      <w:docPartObj>
        <w:docPartGallery w:val="autotext"/>
      </w:docPartObj>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6C6B"/>
    <w:rsid w:val="00027A47"/>
    <w:rsid w:val="000531C0"/>
    <w:rsid w:val="000B3819"/>
    <w:rsid w:val="00150B62"/>
    <w:rsid w:val="001573DF"/>
    <w:rsid w:val="001C516D"/>
    <w:rsid w:val="002529C6"/>
    <w:rsid w:val="00292603"/>
    <w:rsid w:val="002C27A7"/>
    <w:rsid w:val="00430373"/>
    <w:rsid w:val="00555A22"/>
    <w:rsid w:val="00576C6B"/>
    <w:rsid w:val="0063629C"/>
    <w:rsid w:val="00644432"/>
    <w:rsid w:val="006C55AD"/>
    <w:rsid w:val="0073541F"/>
    <w:rsid w:val="007355BB"/>
    <w:rsid w:val="00772ACC"/>
    <w:rsid w:val="008334A1"/>
    <w:rsid w:val="00911A1B"/>
    <w:rsid w:val="00921DAB"/>
    <w:rsid w:val="009969E0"/>
    <w:rsid w:val="00A81F52"/>
    <w:rsid w:val="00A970C5"/>
    <w:rsid w:val="00B62B47"/>
    <w:rsid w:val="00CC4097"/>
    <w:rsid w:val="00D20D6C"/>
    <w:rsid w:val="00D7094C"/>
    <w:rsid w:val="00F41887"/>
    <w:rsid w:val="00FA750A"/>
    <w:rsid w:val="205C6C76"/>
    <w:rsid w:val="5E32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spacing w:afterLines="50" w:line="640" w:lineRule="exact"/>
      <w:jc w:val="center"/>
      <w:outlineLvl w:val="0"/>
    </w:pPr>
    <w:rPr>
      <w:rFonts w:ascii="方正小标宋简体" w:eastAsia="方正小标宋简体"/>
      <w:kern w:val="0"/>
      <w:sz w:val="44"/>
      <w:szCs w:val="36"/>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3"/>
    <w:qFormat/>
    <w:uiPriority w:val="0"/>
    <w:pPr>
      <w:spacing w:after="120"/>
    </w:pPr>
    <w:rPr>
      <w:rFonts w:ascii="仿宋_GB2312" w:eastAsia="仿宋_GB2312"/>
      <w:sz w:val="2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qFormat/>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标题 1 Char"/>
    <w:basedOn w:val="6"/>
    <w:link w:val="2"/>
    <w:qFormat/>
    <w:uiPriority w:val="0"/>
    <w:rPr>
      <w:rFonts w:ascii="方正小标宋简体" w:hAnsi="Times New Roman" w:eastAsia="方正小标宋简体" w:cs="Times New Roman"/>
      <w:kern w:val="0"/>
      <w:sz w:val="44"/>
      <w:szCs w:val="36"/>
    </w:rPr>
  </w:style>
  <w:style w:type="character" w:customStyle="1" w:styleId="11">
    <w:name w:val="名称 Char"/>
    <w:link w:val="12"/>
    <w:qFormat/>
    <w:uiPriority w:val="0"/>
    <w:rPr>
      <w:b/>
      <w:sz w:val="44"/>
    </w:rPr>
  </w:style>
  <w:style w:type="paragraph" w:customStyle="1" w:styleId="12">
    <w:name w:val="名称"/>
    <w:basedOn w:val="1"/>
    <w:link w:val="11"/>
    <w:qFormat/>
    <w:uiPriority w:val="0"/>
    <w:pPr>
      <w:jc w:val="center"/>
    </w:pPr>
    <w:rPr>
      <w:rFonts w:asciiTheme="minorHAnsi" w:hAnsiTheme="minorHAnsi" w:eastAsiaTheme="minorEastAsia" w:cstheme="minorBidi"/>
      <w:b/>
      <w:sz w:val="44"/>
      <w:szCs w:val="22"/>
    </w:rPr>
  </w:style>
  <w:style w:type="character" w:customStyle="1" w:styleId="13">
    <w:name w:val="正文文本 Char"/>
    <w:basedOn w:val="6"/>
    <w:link w:val="3"/>
    <w:qFormat/>
    <w:uiPriority w:val="0"/>
    <w:rPr>
      <w:rFonts w:ascii="仿宋_GB2312" w:hAnsi="Times New Roman" w:eastAsia="仿宋_GB2312"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198</Words>
  <Characters>1129</Characters>
  <Lines>9</Lines>
  <Paragraphs>2</Paragraphs>
  <TotalTime>0</TotalTime>
  <ScaleCrop>false</ScaleCrop>
  <LinksUpToDate>false</LinksUpToDate>
  <CharactersWithSpaces>1325</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2019-06-14T07:12:00Z</dcterms:created>
  <dc:creator>曾川</dc:creator>
  <cp:lastModifiedBy>李炜琛</cp:lastModifiedBy>
  <dcterms:modified xsi:type="dcterms:W3CDTF">2020-04-14T09:27:51Z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