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verflowPunct w:val="0"/>
        <w:spacing w:after="156"/>
        <w:jc w:val="both"/>
        <w:rPr>
          <w:rStyle w:val="11"/>
          <w:rFonts w:ascii="Times New Roman"/>
          <w:b w:val="0"/>
        </w:rPr>
      </w:pPr>
      <w:bookmarkStart w:id="0" w:name="_Toc528826261"/>
      <w:bookmarkStart w:id="1" w:name="_Toc527378180"/>
      <w:bookmarkStart w:id="2" w:name="_Toc20821"/>
      <w:bookmarkStart w:id="3" w:name="_Toc527306885"/>
      <w:bookmarkStart w:id="4" w:name="_Toc527562385"/>
      <w:bookmarkStart w:id="5" w:name="_Toc529343115"/>
    </w:p>
    <w:p>
      <w:pPr>
        <w:pStyle w:val="2"/>
        <w:overflowPunct w:val="0"/>
        <w:spacing w:after="156"/>
        <w:rPr>
          <w:rStyle w:val="11"/>
          <w:rFonts w:ascii="Times New Roman"/>
          <w:b w:val="0"/>
        </w:rPr>
      </w:pPr>
      <w:r>
        <w:rPr>
          <w:rStyle w:val="11"/>
          <w:rFonts w:hint="eastAsia" w:ascii="Times New Roman"/>
          <w:b w:val="0"/>
        </w:rPr>
        <w:t>国家市场监督管理总局</w:t>
      </w:r>
      <w:r>
        <w:rPr>
          <w:rStyle w:val="11"/>
          <w:rFonts w:hint="eastAsia" w:ascii="Times New Roman"/>
          <w:b w:val="0"/>
        </w:rPr>
        <w:br w:type="textWrapping"/>
      </w:r>
      <w:r>
        <w:rPr>
          <w:rStyle w:val="11"/>
          <w:rFonts w:hint="eastAsia" w:ascii="Times New Roman"/>
          <w:b w:val="0"/>
        </w:rPr>
        <w:t>行政处罚决定书</w:t>
      </w:r>
      <w:bookmarkEnd w:id="0"/>
      <w:bookmarkEnd w:id="1"/>
      <w:bookmarkEnd w:id="2"/>
      <w:bookmarkEnd w:id="3"/>
      <w:bookmarkEnd w:id="4"/>
      <w:bookmarkEnd w:id="5"/>
    </w:p>
    <w:p>
      <w:pPr>
        <w:pStyle w:val="3"/>
        <w:overflowPunct w:val="0"/>
        <w:jc w:val="center"/>
        <w:rPr>
          <w:rFonts w:ascii="Times New Roman"/>
          <w:sz w:val="24"/>
        </w:rPr>
      </w:pPr>
      <w:r>
        <w:rPr>
          <w:rFonts w:hint="eastAsia" w:ascii="Times New Roman"/>
          <w:sz w:val="32"/>
          <w:szCs w:val="32"/>
        </w:rPr>
        <w:t>国市监处〔2019〕21号</w:t>
      </w:r>
    </w:p>
    <w:p>
      <w:pPr>
        <w:widowControl/>
        <w:overflowPunct w:val="0"/>
        <w:adjustRightInd w:val="0"/>
        <w:snapToGri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bookmarkStart w:id="6" w:name="litigantInfo"/>
      <w:bookmarkEnd w:id="6"/>
      <w:r>
        <w:rPr>
          <w:rFonts w:hint="eastAsia" w:eastAsia="黑体" w:cs="Arial"/>
          <w:sz w:val="32"/>
          <w:szCs w:val="32"/>
        </w:rPr>
        <w:t>一、当事人情况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山东康惠医药有限公司，住所：山东省潍坊市奎文区庄检路517号。公司类型：有限责任公司(自然人投资或控股)。注册资本：9000万人民币。法定代表人：武洲。经营范围：批发：中药材、中药饮片、中成药、化学原料药、化学药制剂、抗生素、生化药品、生物制品（除疫苗）、麻醉药品、精神药品、蛋白同化制剂、肽类激素；批发：I、Ⅱ、Ⅲ类医疗器械产品（按照《第二类医疗器械经营备案凭证》和《医疗器械经营企业许可证》核定的项目范围经营）等。统一信用代码：</w:t>
      </w:r>
      <w:r>
        <w:rPr>
          <w:rFonts w:eastAsia="仿宋_GB2312"/>
          <w:sz w:val="32"/>
          <w:szCs w:val="32"/>
        </w:rPr>
        <w:t>913707052671601698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二、案件来源及调查经过</w:t>
      </w:r>
    </w:p>
    <w:p>
      <w:pPr>
        <w:overflowPunct w:val="0"/>
        <w:spacing w:line="594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方正仿宋_GBK"/>
          <w:color w:val="000000"/>
          <w:sz w:val="32"/>
          <w:szCs w:val="32"/>
        </w:rPr>
        <w:t>根据举报，本机关依法于</w:t>
      </w:r>
      <w:r>
        <w:rPr>
          <w:rFonts w:hint="eastAsia" w:eastAsia="仿宋_GB2312"/>
          <w:color w:val="000000"/>
          <w:sz w:val="32"/>
          <w:szCs w:val="32"/>
        </w:rPr>
        <w:t>2019</w:t>
      </w:r>
      <w:r>
        <w:rPr>
          <w:rFonts w:hint="eastAsia" w:eastAsia="仿宋_GB2312" w:cs="方正仿宋_GBK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5</w:t>
      </w:r>
      <w:r>
        <w:rPr>
          <w:rFonts w:hint="eastAsia" w:eastAsia="仿宋_GB2312" w:cs="方正仿宋_GBK"/>
          <w:color w:val="000000"/>
          <w:sz w:val="32"/>
          <w:szCs w:val="32"/>
        </w:rPr>
        <w:t>月</w:t>
      </w:r>
      <w:r>
        <w:rPr>
          <w:rFonts w:hint="eastAsia" w:eastAsia="仿宋_GB2312"/>
          <w:color w:val="000000"/>
          <w:sz w:val="32"/>
          <w:szCs w:val="32"/>
        </w:rPr>
        <w:t>23</w:t>
      </w:r>
      <w:r>
        <w:rPr>
          <w:rFonts w:hint="eastAsia" w:eastAsia="仿宋_GB2312" w:cs="方正仿宋_GBK"/>
          <w:color w:val="000000"/>
          <w:sz w:val="32"/>
          <w:szCs w:val="32"/>
        </w:rPr>
        <w:t>日对当事人涉嫌实施原料药垄断行为开展反垄断调查。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三、违法事实及相关证据</w:t>
      </w:r>
    </w:p>
    <w:p>
      <w:pPr>
        <w:overflowPunct w:val="0"/>
        <w:spacing w:line="594" w:lineRule="exact"/>
        <w:ind w:firstLine="640" w:firstLineChars="200"/>
        <w:rPr>
          <w:rFonts w:eastAsia="仿宋_GB2312" w:cs="方正黑体_GBK"/>
          <w:b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5月23日上午9时许，本机关执法人员进入当事人经营场所进行调查，出具《调查通知书》，并出示执法证件。执法过程中，当事人故意拖延，不配合调查，当事人法定代表人谎称有关资料被水淹拒绝提供。同时，切断公司办公系统网络，删除电脑文件资料，导致无法登录办公电脑，执法人员无法查阅相关资料。</w:t>
      </w:r>
    </w:p>
    <w:p>
      <w:pPr>
        <w:overflowPunct w:val="0"/>
        <w:spacing w:line="594" w:lineRule="exact"/>
        <w:ind w:firstLine="640" w:firstLineChars="200"/>
        <w:rPr>
          <w:rFonts w:eastAsia="仿宋_GB2312" w:cs="方正黑体_GBK"/>
          <w:sz w:val="32"/>
          <w:szCs w:val="32"/>
        </w:rPr>
      </w:pPr>
      <w:r>
        <w:rPr>
          <w:rFonts w:hint="eastAsia" w:eastAsia="仿宋_GB2312" w:cs="方正黑体_GBK"/>
          <w:sz w:val="32"/>
          <w:szCs w:val="32"/>
        </w:rPr>
        <w:t>下午16时许，本机关执法人员进入当事人资料室进行调查取证时，发现了大量关键证据材料（包括购销合同、财务单、发货记录单等）。当事人法定代表人立即组织、指挥30余名公司员工及社会闲散人员暴力抢夺证据材料，不顾执法人员阻拦，将有关证据材料强行隐匿、转移。在执法人员责令停止违法行为时，当事人相关人员对执法人员进行暴力阻挠，造成部分执法人员受伤，严重阻碍了调查工作。为逃避法律制裁，当事人将存储现场录像资料的硬盘拆除。同时，当事人组织身份不明人员20人左右，围堵执法人员所在会议室，并在楼下示威，威胁执法人员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以上事实，有执法记录仪等记录的影像资料、现场调查笔录、调查询问笔录、医院诊断证明等证据为证。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黑体" w:cs="Arial"/>
          <w:sz w:val="32"/>
          <w:szCs w:val="32"/>
        </w:rPr>
      </w:pPr>
      <w:r>
        <w:rPr>
          <w:rFonts w:hint="eastAsia" w:eastAsia="黑体" w:cs="Arial"/>
          <w:sz w:val="32"/>
          <w:szCs w:val="32"/>
        </w:rPr>
        <w:t>四、行政处罚依据和决定</w:t>
      </w:r>
    </w:p>
    <w:p>
      <w:pPr>
        <w:overflowPunct w:val="0"/>
        <w:spacing w:line="594" w:lineRule="exact"/>
        <w:ind w:firstLine="640" w:firstLineChars="200"/>
        <w:rPr>
          <w:rFonts w:eastAsia="仿宋_GB2312" w:cs="方正仿宋_GBK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本机关认为，对原料药经销企业依法开展反垄断调查，是预防和制止原料药领域垄断行为，保护市场公平竞争和患者合法权益的重要法律措施。当事人对本机关依法开展的调查不予配合，严重影响了执法工作。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 w:cs="方正仿宋_GBK"/>
          <w:sz w:val="32"/>
          <w:szCs w:val="32"/>
        </w:rPr>
        <w:t>本机关认定，</w:t>
      </w:r>
      <w:r>
        <w:rPr>
          <w:rFonts w:hint="eastAsia" w:eastAsia="仿宋_GB2312" w:cs="方正仿宋_GBK"/>
          <w:color w:val="000000"/>
          <w:sz w:val="32"/>
          <w:szCs w:val="32"/>
        </w:rPr>
        <w:t>当事人的上述行为违反了《中华人民共和国反垄断法》第四十二条规定，构成了拒绝提供有关材料、信息，隐匿、销毁、转移证据，拒绝、阻碍反垄断执法机构调查的违法行为。当事人的上述行为蔑视国家法律权威，暴力抗拒执法调查，性质恶劣、情节严重、影响极坏，应当依法从重处罚。</w:t>
      </w:r>
      <w:r>
        <w:rPr>
          <w:rFonts w:hint="eastAsia" w:eastAsia="仿宋_GB2312" w:cs="方正仿宋_GBK"/>
          <w:sz w:val="32"/>
          <w:szCs w:val="32"/>
        </w:rPr>
        <w:t>依据《中华人民共和国反垄断法》</w:t>
      </w:r>
      <w:r>
        <w:rPr>
          <w:rFonts w:hint="eastAsia" w:eastAsia="仿宋_GB2312" w:cs="方正仿宋_GBK"/>
          <w:color w:val="000000"/>
          <w:sz w:val="32"/>
          <w:szCs w:val="32"/>
        </w:rPr>
        <w:t>第五十二条</w:t>
      </w:r>
      <w:r>
        <w:rPr>
          <w:rFonts w:hint="eastAsia" w:eastAsia="仿宋_GB2312" w:cs="方正仿宋_GBK"/>
          <w:sz w:val="32"/>
          <w:szCs w:val="32"/>
        </w:rPr>
        <w:t>规定，</w:t>
      </w:r>
      <w:r>
        <w:rPr>
          <w:rFonts w:hint="eastAsia" w:eastAsia="仿宋_GB2312" w:cs="方正仿宋_GBK"/>
          <w:color w:val="000000"/>
          <w:sz w:val="32"/>
          <w:szCs w:val="32"/>
        </w:rPr>
        <w:t>本机关决定对当事人处以罚款100万元（大写：人民币壹佰万元整）。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《中华人民共和国行政处罚法》第四十六条规定，当事人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缴纳罚款。缴款码：</w:t>
      </w:r>
      <w:r>
        <w:rPr>
          <w:rFonts w:hint="eastAsia" w:ascii="仿宋_GB2312" w:eastAsia="仿宋_GB2312" w:cs="方正仿宋_GBK"/>
          <w:color w:val="000000"/>
          <w:sz w:val="32"/>
          <w:szCs w:val="32"/>
        </w:rPr>
        <w:t>***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当事人如对上述行政处罚决定不服，可以自收到本行政处罚决定书之日起六十日内，向国家市场监督管理总局申请行政复议；或者自收到本行政处罚决定书之日起六个月内，依法向人民法院提起行政诉讼。行政复议或者行政诉讼期间，本行政处罚决定不停止执行。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overflowPunct w:val="0"/>
        <w:adjustRightInd w:val="0"/>
        <w:spacing w:line="560" w:lineRule="exact"/>
        <w:ind w:right="32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市场监管总局</w:t>
      </w:r>
    </w:p>
    <w:p>
      <w:pPr>
        <w:widowControl/>
        <w:overflowPunct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2019年6月28日</w:t>
      </w:r>
      <w:bookmarkStart w:id="7" w:name="_GoBack"/>
      <w:bookmarkEnd w:id="7"/>
    </w:p>
    <w:p>
      <w:pPr>
        <w:overflowPunct w:val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20192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C6B"/>
    <w:rsid w:val="00002325"/>
    <w:rsid w:val="000C27B9"/>
    <w:rsid w:val="00200AAF"/>
    <w:rsid w:val="002529C6"/>
    <w:rsid w:val="002E33B8"/>
    <w:rsid w:val="00430373"/>
    <w:rsid w:val="00454636"/>
    <w:rsid w:val="00507ECE"/>
    <w:rsid w:val="00576C6B"/>
    <w:rsid w:val="00681BC2"/>
    <w:rsid w:val="00772ACC"/>
    <w:rsid w:val="007C186D"/>
    <w:rsid w:val="008334A1"/>
    <w:rsid w:val="0086091C"/>
    <w:rsid w:val="008C4755"/>
    <w:rsid w:val="008D1170"/>
    <w:rsid w:val="00A970C5"/>
    <w:rsid w:val="00B61FC8"/>
    <w:rsid w:val="00B62B47"/>
    <w:rsid w:val="00B91405"/>
    <w:rsid w:val="00BD6B41"/>
    <w:rsid w:val="00D326DF"/>
    <w:rsid w:val="00D85542"/>
    <w:rsid w:val="00E020BA"/>
    <w:rsid w:val="00E22AF4"/>
    <w:rsid w:val="00FB4C04"/>
    <w:rsid w:val="00FC2ECD"/>
    <w:rsid w:val="2144579C"/>
    <w:rsid w:val="637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afterLines="50" w:line="640" w:lineRule="exact"/>
      <w:jc w:val="center"/>
      <w:outlineLvl w:val="0"/>
    </w:pPr>
    <w:rPr>
      <w:rFonts w:ascii="方正小标宋简体" w:eastAsia="方正小标宋简体"/>
      <w:kern w:val="0"/>
      <w:sz w:val="44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仿宋_GB2312" w:eastAsia="仿宋_GB2312"/>
      <w:sz w:val="2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0"/>
    <w:rPr>
      <w:rFonts w:ascii="方正小标宋简体" w:hAnsi="Times New Roman" w:eastAsia="方正小标宋简体" w:cs="Times New Roman"/>
      <w:kern w:val="0"/>
      <w:sz w:val="44"/>
      <w:szCs w:val="36"/>
    </w:rPr>
  </w:style>
  <w:style w:type="character" w:customStyle="1" w:styleId="11">
    <w:name w:val="名称 Char"/>
    <w:link w:val="12"/>
    <w:uiPriority w:val="0"/>
    <w:rPr>
      <w:b/>
      <w:sz w:val="44"/>
    </w:rPr>
  </w:style>
  <w:style w:type="paragraph" w:customStyle="1" w:styleId="12">
    <w:name w:val="名称"/>
    <w:basedOn w:val="1"/>
    <w:link w:val="11"/>
    <w:uiPriority w:val="0"/>
    <w:pPr>
      <w:jc w:val="center"/>
    </w:pPr>
    <w:rPr>
      <w:rFonts w:asciiTheme="minorHAnsi" w:hAnsiTheme="minorHAnsi" w:eastAsiaTheme="minorEastAsia" w:cstheme="minorBidi"/>
      <w:b/>
      <w:sz w:val="44"/>
      <w:szCs w:val="22"/>
    </w:rPr>
  </w:style>
  <w:style w:type="character" w:customStyle="1" w:styleId="13">
    <w:name w:val="正文文本 Char"/>
    <w:basedOn w:val="6"/>
    <w:link w:val="3"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209</Words>
  <Characters>1195</Characters>
  <Lines>9</Lines>
  <Paragraphs>2</Paragraphs>
  <TotalTime>0</TotalTime>
  <ScaleCrop>false</ScaleCrop>
  <LinksUpToDate>false</LinksUpToDate>
  <CharactersWithSpaces>1402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2019-06-14T07:12:00Z</dcterms:created>
  <dc:creator>曾川</dc:creator>
  <cp:lastModifiedBy>李炜琛</cp:lastModifiedBy>
  <cp:lastPrinted>2020-04-13T07:16:00Z</cp:lastPrinted>
  <dcterms:modified xsi:type="dcterms:W3CDTF">2020-04-14T09:28:08Z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