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overflowPunct w:val="0"/>
        <w:spacing w:after="156"/>
        <w:jc w:val="both"/>
        <w:rPr>
          <w:rStyle w:val="11"/>
          <w:rFonts w:ascii="Times New Roman"/>
          <w:b w:val="0"/>
        </w:rPr>
      </w:pPr>
      <w:bookmarkStart w:id="0" w:name="_Toc20821"/>
      <w:bookmarkStart w:id="1" w:name="_Toc529343115"/>
      <w:bookmarkStart w:id="2" w:name="_Toc527306885"/>
      <w:bookmarkStart w:id="3" w:name="_Toc528826261"/>
      <w:bookmarkStart w:id="4" w:name="_Toc527562385"/>
      <w:bookmarkStart w:id="5" w:name="_Toc527378180"/>
    </w:p>
    <w:p>
      <w:pPr>
        <w:pStyle w:val="2"/>
        <w:overflowPunct w:val="0"/>
        <w:spacing w:after="156"/>
        <w:rPr>
          <w:rStyle w:val="11"/>
          <w:rFonts w:ascii="Times New Roman"/>
          <w:b w:val="0"/>
        </w:rPr>
      </w:pPr>
      <w:r>
        <w:rPr>
          <w:rStyle w:val="11"/>
          <w:rFonts w:hint="eastAsia" w:ascii="Times New Roman"/>
          <w:b w:val="0"/>
        </w:rPr>
        <w:t>国家市场监督管理总局</w:t>
      </w:r>
      <w:r>
        <w:rPr>
          <w:rStyle w:val="11"/>
          <w:rFonts w:hint="eastAsia" w:ascii="Times New Roman"/>
          <w:b w:val="0"/>
        </w:rPr>
        <w:br w:type="textWrapping"/>
      </w:r>
      <w:r>
        <w:rPr>
          <w:rStyle w:val="11"/>
          <w:rFonts w:hint="eastAsia" w:ascii="Times New Roman"/>
          <w:b w:val="0"/>
        </w:rPr>
        <w:t>行政处罚决定书</w:t>
      </w:r>
      <w:bookmarkEnd w:id="0"/>
      <w:bookmarkEnd w:id="1"/>
      <w:bookmarkEnd w:id="2"/>
      <w:bookmarkEnd w:id="3"/>
      <w:bookmarkEnd w:id="4"/>
      <w:bookmarkEnd w:id="5"/>
    </w:p>
    <w:p>
      <w:pPr>
        <w:pStyle w:val="3"/>
        <w:overflowPunct w:val="0"/>
        <w:jc w:val="center"/>
        <w:rPr>
          <w:rFonts w:ascii="Times New Roman"/>
          <w:sz w:val="24"/>
        </w:rPr>
      </w:pPr>
      <w:r>
        <w:rPr>
          <w:rFonts w:hint="eastAsia" w:ascii="Times New Roman"/>
          <w:sz w:val="32"/>
          <w:szCs w:val="32"/>
        </w:rPr>
        <w:t>国市监处〔2019〕23号</w:t>
      </w:r>
    </w:p>
    <w:p>
      <w:pPr>
        <w:widowControl/>
        <w:overflowPunct w:val="0"/>
        <w:adjustRightInd w:val="0"/>
        <w:snapToGrid w:val="0"/>
        <w:spacing w:line="560" w:lineRule="exact"/>
        <w:ind w:firstLine="640" w:firstLineChars="200"/>
        <w:rPr>
          <w:rFonts w:eastAsia="黑体" w:cs="Arial"/>
          <w:sz w:val="32"/>
          <w:szCs w:val="32"/>
        </w:rPr>
      </w:pPr>
      <w:bookmarkStart w:id="6" w:name="litigantInfo"/>
      <w:bookmarkEnd w:id="6"/>
      <w:r>
        <w:rPr>
          <w:rFonts w:hint="eastAsia" w:eastAsia="黑体" w:cs="Arial"/>
          <w:sz w:val="32"/>
          <w:szCs w:val="32"/>
        </w:rPr>
        <w:t>一、当事人情况</w:t>
      </w:r>
    </w:p>
    <w:p>
      <w:pPr>
        <w:widowControl/>
        <w:overflowPunct w:val="0"/>
        <w:adjustRightInd w:val="0"/>
        <w:spacing w:line="560" w:lineRule="exact"/>
        <w:ind w:firstLine="640" w:firstLineChars="200"/>
        <w:rPr>
          <w:rFonts w:eastAsia="仿宋_GB2312"/>
          <w:sz w:val="32"/>
          <w:szCs w:val="32"/>
        </w:rPr>
      </w:pPr>
      <w:r>
        <w:rPr>
          <w:rFonts w:hint="eastAsia" w:eastAsia="仿宋_GB2312"/>
          <w:sz w:val="32"/>
          <w:szCs w:val="32"/>
        </w:rPr>
        <w:t>卢国华，男，住所：</w:t>
      </w:r>
      <w:r>
        <w:rPr>
          <w:rFonts w:hint="eastAsia" w:ascii="仿宋_GB2312" w:eastAsia="仿宋_GB2312" w:cs="方正仿宋_GBK"/>
          <w:color w:val="000000"/>
          <w:sz w:val="32"/>
          <w:szCs w:val="32"/>
        </w:rPr>
        <w:t>***</w:t>
      </w:r>
      <w:r>
        <w:rPr>
          <w:rFonts w:hint="eastAsia" w:eastAsia="仿宋_GB2312"/>
          <w:sz w:val="32"/>
          <w:szCs w:val="32"/>
        </w:rPr>
        <w:t>。</w:t>
      </w:r>
    </w:p>
    <w:p>
      <w:pPr>
        <w:widowControl/>
        <w:overflowPunct w:val="0"/>
        <w:adjustRightInd w:val="0"/>
        <w:spacing w:line="560" w:lineRule="exact"/>
        <w:ind w:firstLine="640" w:firstLineChars="200"/>
        <w:rPr>
          <w:rFonts w:eastAsia="黑体" w:cs="Arial"/>
          <w:sz w:val="32"/>
          <w:szCs w:val="32"/>
        </w:rPr>
      </w:pPr>
      <w:r>
        <w:rPr>
          <w:rFonts w:hint="eastAsia" w:eastAsia="黑体" w:cs="Arial"/>
          <w:sz w:val="32"/>
          <w:szCs w:val="32"/>
        </w:rPr>
        <w:t>二、案件来源及调查经过</w:t>
      </w:r>
    </w:p>
    <w:p>
      <w:pPr>
        <w:overflowPunct w:val="0"/>
        <w:spacing w:line="594" w:lineRule="exact"/>
        <w:ind w:firstLine="640" w:firstLineChars="200"/>
        <w:rPr>
          <w:rFonts w:eastAsia="仿宋_GB2312"/>
          <w:color w:val="000000"/>
          <w:sz w:val="32"/>
          <w:szCs w:val="32"/>
        </w:rPr>
      </w:pPr>
      <w:r>
        <w:rPr>
          <w:rFonts w:hint="eastAsia" w:eastAsia="仿宋_GB2312" w:cs="方正仿宋_GBK"/>
          <w:color w:val="000000"/>
          <w:sz w:val="32"/>
          <w:szCs w:val="32"/>
        </w:rPr>
        <w:t>根据举报，本机关依法于</w:t>
      </w:r>
      <w:r>
        <w:rPr>
          <w:rFonts w:hint="eastAsia" w:eastAsia="仿宋_GB2312"/>
          <w:color w:val="000000"/>
          <w:sz w:val="32"/>
          <w:szCs w:val="32"/>
        </w:rPr>
        <w:t>2019</w:t>
      </w:r>
      <w:r>
        <w:rPr>
          <w:rFonts w:hint="eastAsia" w:eastAsia="仿宋_GB2312" w:cs="方正仿宋_GBK"/>
          <w:color w:val="000000"/>
          <w:sz w:val="32"/>
          <w:szCs w:val="32"/>
        </w:rPr>
        <w:t>年</w:t>
      </w:r>
      <w:r>
        <w:rPr>
          <w:rFonts w:hint="eastAsia" w:eastAsia="仿宋_GB2312"/>
          <w:color w:val="000000"/>
          <w:sz w:val="32"/>
          <w:szCs w:val="32"/>
        </w:rPr>
        <w:t>5</w:t>
      </w:r>
      <w:r>
        <w:rPr>
          <w:rFonts w:hint="eastAsia" w:eastAsia="仿宋_GB2312" w:cs="方正仿宋_GBK"/>
          <w:color w:val="000000"/>
          <w:sz w:val="32"/>
          <w:szCs w:val="32"/>
        </w:rPr>
        <w:t>月</w:t>
      </w:r>
      <w:r>
        <w:rPr>
          <w:rFonts w:hint="eastAsia" w:eastAsia="仿宋_GB2312"/>
          <w:color w:val="000000"/>
          <w:sz w:val="32"/>
          <w:szCs w:val="32"/>
        </w:rPr>
        <w:t>23</w:t>
      </w:r>
      <w:r>
        <w:rPr>
          <w:rFonts w:hint="eastAsia" w:eastAsia="仿宋_GB2312" w:cs="方正仿宋_GBK"/>
          <w:color w:val="000000"/>
          <w:sz w:val="32"/>
          <w:szCs w:val="32"/>
        </w:rPr>
        <w:t>日对</w:t>
      </w:r>
      <w:r>
        <w:rPr>
          <w:rFonts w:hint="eastAsia" w:eastAsia="仿宋_GB2312"/>
          <w:sz w:val="32"/>
          <w:szCs w:val="32"/>
        </w:rPr>
        <w:t>潍坊普云惠医药有限公司</w:t>
      </w:r>
      <w:r>
        <w:rPr>
          <w:rFonts w:hint="eastAsia" w:eastAsia="仿宋_GB2312" w:cs="方正仿宋_GBK"/>
          <w:color w:val="000000"/>
          <w:sz w:val="32"/>
          <w:szCs w:val="32"/>
        </w:rPr>
        <w:t>（以下简称</w:t>
      </w:r>
      <w:r>
        <w:rPr>
          <w:rFonts w:hint="eastAsia" w:eastAsia="仿宋_GB2312"/>
          <w:sz w:val="32"/>
          <w:szCs w:val="32"/>
        </w:rPr>
        <w:t>普云惠</w:t>
      </w:r>
      <w:r>
        <w:rPr>
          <w:rFonts w:hint="eastAsia" w:eastAsia="仿宋_GB2312" w:cs="方正仿宋_GBK"/>
          <w:color w:val="000000"/>
          <w:sz w:val="32"/>
          <w:szCs w:val="32"/>
        </w:rPr>
        <w:t>公司）涉嫌实施原料药垄断行为开展反垄断调查，当事人系该公司法定代表人。</w:t>
      </w:r>
    </w:p>
    <w:p>
      <w:pPr>
        <w:widowControl/>
        <w:overflowPunct w:val="0"/>
        <w:adjustRightInd w:val="0"/>
        <w:spacing w:line="560" w:lineRule="exact"/>
        <w:ind w:firstLine="640" w:firstLineChars="200"/>
        <w:rPr>
          <w:rFonts w:eastAsia="黑体" w:cs="Arial"/>
          <w:sz w:val="32"/>
          <w:szCs w:val="32"/>
        </w:rPr>
      </w:pPr>
      <w:r>
        <w:rPr>
          <w:rFonts w:hint="eastAsia" w:eastAsia="黑体" w:cs="Arial"/>
          <w:sz w:val="32"/>
          <w:szCs w:val="32"/>
        </w:rPr>
        <w:t>三、违法事实及相关证据</w:t>
      </w:r>
    </w:p>
    <w:p>
      <w:pPr>
        <w:overflowPunct w:val="0"/>
        <w:spacing w:line="594" w:lineRule="exact"/>
        <w:ind w:firstLine="640" w:firstLineChars="200"/>
        <w:rPr>
          <w:rFonts w:eastAsia="仿宋_GB2312" w:cs="方正黑体_GBK"/>
          <w:b/>
          <w:sz w:val="32"/>
          <w:szCs w:val="32"/>
        </w:rPr>
      </w:pPr>
      <w:r>
        <w:rPr>
          <w:rFonts w:hint="eastAsia" w:eastAsia="仿宋_GB2312" w:cs="方正黑体_GBK"/>
          <w:sz w:val="32"/>
          <w:szCs w:val="32"/>
        </w:rPr>
        <w:t>5月23日上午9时许，本机关执法人员进入普云惠公司</w:t>
      </w:r>
      <w:r>
        <w:rPr>
          <w:rFonts w:hint="eastAsia" w:eastAsia="仿宋_GB2312" w:cs="方正黑体_GBK"/>
          <w:kern w:val="0"/>
          <w:sz w:val="32"/>
          <w:szCs w:val="32"/>
        </w:rPr>
        <w:t>经营场所</w:t>
      </w:r>
      <w:r>
        <w:rPr>
          <w:rFonts w:hint="eastAsia" w:eastAsia="仿宋_GB2312" w:cs="方正黑体_GBK"/>
          <w:sz w:val="32"/>
          <w:szCs w:val="32"/>
        </w:rPr>
        <w:t>进行调查，出具《调查通知书》，并出示执法证件。执法过程中，当事人强硬拒绝提供采购、销售葡萄糖酸钙等原料药的票证、单据、记录、会计账簿等资料，阻挠执法人员查阅公司电子数据、文件资料，拒绝在《调查通知书》送达回证上签字，并多次表示“不同意执法人员开展调查”“不同意提取证据材料”。</w:t>
      </w:r>
    </w:p>
    <w:p>
      <w:pPr>
        <w:overflowPunct w:val="0"/>
        <w:spacing w:line="594" w:lineRule="exact"/>
        <w:ind w:firstLine="640" w:firstLineChars="200"/>
        <w:rPr>
          <w:rFonts w:eastAsia="仿宋_GB2312" w:cs="方正黑体_GBK"/>
          <w:sz w:val="32"/>
          <w:szCs w:val="32"/>
        </w:rPr>
      </w:pPr>
      <w:r>
        <w:rPr>
          <w:rFonts w:hint="eastAsia" w:eastAsia="仿宋_GB2312" w:cs="方正黑体_GBK"/>
          <w:sz w:val="32"/>
          <w:szCs w:val="32"/>
        </w:rPr>
        <w:t>调查过程中，当事人将执法人员打印出的记录涉嫌实施垄断行为的微信聊天记录等证据材料当众撕毁，在执法人员警告其行为构成违法的情况下，当事人依然继续销毁证据材料。调查询问时，当事人谎称公司2017年底以前的采购合同以及与原料药生产企业签订的合作协议等材料，均因发生交通事故丢失，后经核实，上述资料被转移而未丢失。</w:t>
      </w:r>
    </w:p>
    <w:p>
      <w:pPr>
        <w:widowControl/>
        <w:overflowPunct w:val="0"/>
        <w:adjustRightInd w:val="0"/>
        <w:spacing w:line="560" w:lineRule="exact"/>
        <w:ind w:firstLine="640" w:firstLineChars="200"/>
        <w:rPr>
          <w:rFonts w:eastAsia="仿宋_GB2312"/>
          <w:sz w:val="32"/>
          <w:szCs w:val="32"/>
        </w:rPr>
      </w:pPr>
      <w:r>
        <w:rPr>
          <w:rFonts w:hint="eastAsia" w:eastAsia="仿宋_GB2312" w:cs="方正仿宋_GBK"/>
          <w:sz w:val="32"/>
          <w:szCs w:val="32"/>
        </w:rPr>
        <w:t>以上事实，有执法记录仪等记录的影像资料、调查询问笔录、信息沟通记录等证据为证。</w:t>
      </w:r>
    </w:p>
    <w:p>
      <w:pPr>
        <w:widowControl/>
        <w:overflowPunct w:val="0"/>
        <w:adjustRightInd w:val="0"/>
        <w:spacing w:line="560" w:lineRule="exact"/>
        <w:ind w:firstLine="640" w:firstLineChars="200"/>
        <w:rPr>
          <w:rFonts w:eastAsia="黑体" w:cs="Arial"/>
          <w:sz w:val="32"/>
          <w:szCs w:val="32"/>
        </w:rPr>
      </w:pPr>
      <w:r>
        <w:rPr>
          <w:rFonts w:hint="eastAsia" w:eastAsia="黑体" w:cs="Arial"/>
          <w:sz w:val="32"/>
          <w:szCs w:val="32"/>
        </w:rPr>
        <w:t>四、行政处罚依据和决定</w:t>
      </w:r>
    </w:p>
    <w:p>
      <w:pPr>
        <w:overflowPunct w:val="0"/>
        <w:spacing w:line="594" w:lineRule="exact"/>
        <w:ind w:firstLine="640" w:firstLineChars="200"/>
        <w:rPr>
          <w:rFonts w:eastAsia="仿宋_GB2312" w:cs="方正仿宋_GBK"/>
          <w:sz w:val="32"/>
          <w:szCs w:val="32"/>
        </w:rPr>
      </w:pPr>
      <w:r>
        <w:rPr>
          <w:rFonts w:hint="eastAsia" w:eastAsia="仿宋_GB2312" w:cs="方正仿宋_GBK"/>
          <w:sz w:val="32"/>
          <w:szCs w:val="32"/>
        </w:rPr>
        <w:t>本机关认为，对原料药经销企业依法开展反垄断调查，是预防和制止原料药领域垄断行为，保护市场公平竞争和患者合法权益的重要法律措施。当事人作为普云惠公司法定代表人，对本机关依法开展的调查不予配合，严重影响了执法工作。</w:t>
      </w:r>
    </w:p>
    <w:p>
      <w:pPr>
        <w:widowControl/>
        <w:overflowPunct w:val="0"/>
        <w:adjustRightInd w:val="0"/>
        <w:spacing w:line="560" w:lineRule="exact"/>
        <w:ind w:firstLine="640" w:firstLineChars="200"/>
        <w:rPr>
          <w:rFonts w:eastAsia="仿宋_GB2312" w:cs="方正仿宋_GBK"/>
          <w:color w:val="000000"/>
          <w:sz w:val="32"/>
          <w:szCs w:val="32"/>
        </w:rPr>
      </w:pPr>
      <w:r>
        <w:rPr>
          <w:rFonts w:hint="eastAsia" w:eastAsia="仿宋_GB2312" w:cs="方正仿宋_GBK"/>
          <w:sz w:val="32"/>
          <w:szCs w:val="32"/>
        </w:rPr>
        <w:t>本机关认定，</w:t>
      </w:r>
      <w:r>
        <w:rPr>
          <w:rFonts w:hint="eastAsia" w:eastAsia="仿宋_GB2312" w:cs="方正仿宋_GBK"/>
          <w:color w:val="000000"/>
          <w:sz w:val="32"/>
          <w:szCs w:val="32"/>
        </w:rPr>
        <w:t>当事人的上述行为违反了《中华人民共和国反垄断法》第四十二条规定，构成了拒绝提供有关材料、信息，隐匿、销毁、转移证据，拒绝、阻碍反垄断执法机构调查的违法行为，性质恶劣、情节严重。</w:t>
      </w:r>
      <w:r>
        <w:rPr>
          <w:rFonts w:hint="eastAsia" w:eastAsia="仿宋_GB2312" w:cs="方正仿宋_GBK"/>
          <w:sz w:val="32"/>
          <w:szCs w:val="32"/>
        </w:rPr>
        <w:t>依据《中华人民共和国反垄断法》</w:t>
      </w:r>
      <w:r>
        <w:rPr>
          <w:rFonts w:hint="eastAsia" w:eastAsia="仿宋_GB2312" w:cs="方正仿宋_GBK"/>
          <w:color w:val="000000"/>
          <w:sz w:val="32"/>
          <w:szCs w:val="32"/>
        </w:rPr>
        <w:t>第五十二条</w:t>
      </w:r>
      <w:r>
        <w:rPr>
          <w:rFonts w:hint="eastAsia" w:eastAsia="仿宋_GB2312" w:cs="方正仿宋_GBK"/>
          <w:sz w:val="32"/>
          <w:szCs w:val="32"/>
        </w:rPr>
        <w:t>规定，</w:t>
      </w:r>
      <w:r>
        <w:rPr>
          <w:rFonts w:hint="eastAsia" w:eastAsia="仿宋_GB2312" w:cs="方正仿宋_GBK"/>
          <w:color w:val="000000"/>
          <w:sz w:val="32"/>
          <w:szCs w:val="32"/>
        </w:rPr>
        <w:t>本机关</w:t>
      </w:r>
      <w:r>
        <w:rPr>
          <w:rFonts w:hint="eastAsia" w:eastAsia="仿宋_GB2312" w:cs="方正仿宋_GBK"/>
          <w:color w:val="000000"/>
          <w:sz w:val="32"/>
          <w:szCs w:val="32"/>
          <w:lang w:eastAsia="zh-CN"/>
        </w:rPr>
        <w:t>决定</w:t>
      </w:r>
      <w:bookmarkStart w:id="7" w:name="_GoBack"/>
      <w:bookmarkEnd w:id="7"/>
      <w:r>
        <w:rPr>
          <w:rFonts w:hint="eastAsia" w:eastAsia="仿宋_GB2312" w:cs="方正仿宋_GBK"/>
          <w:color w:val="000000"/>
          <w:sz w:val="32"/>
          <w:szCs w:val="32"/>
        </w:rPr>
        <w:t>对当事人处以罚款10万元（大写：人民币拾万元整）。</w:t>
      </w:r>
    </w:p>
    <w:p>
      <w:pPr>
        <w:widowControl/>
        <w:overflowPunct w:val="0"/>
        <w:adjustRightInd w:val="0"/>
        <w:spacing w:line="560" w:lineRule="exact"/>
        <w:ind w:firstLine="640" w:firstLineChars="200"/>
        <w:rPr>
          <w:rFonts w:eastAsia="仿宋_GB2312"/>
          <w:sz w:val="32"/>
          <w:szCs w:val="32"/>
        </w:rPr>
      </w:pPr>
      <w:r>
        <w:rPr>
          <w:rFonts w:hint="eastAsia" w:eastAsia="仿宋_GB2312"/>
          <w:sz w:val="32"/>
          <w:szCs w:val="32"/>
        </w:rPr>
        <w:t>依据《中华人民共和国行政处罚法》第四十六条规定，当事人应当自收到本行政处罚决定书之日起十五日内，根据本行政处罚决定书，携缴款码到12家中央财政非税收入收缴代理银行（工、农、中、建、交、中信、光大、招商、邮储、华夏、平安、兴业）任一银行网点或者网上银行缴纳罚款。缴款码：</w:t>
      </w:r>
      <w:r>
        <w:rPr>
          <w:rFonts w:hint="eastAsia" w:ascii="仿宋_GB2312" w:eastAsia="仿宋_GB2312" w:cs="方正仿宋_GBK"/>
          <w:color w:val="000000"/>
          <w:sz w:val="32"/>
          <w:szCs w:val="32"/>
        </w:rPr>
        <w:t>***</w:t>
      </w:r>
      <w:r>
        <w:rPr>
          <w:rFonts w:hint="eastAsia" w:eastAsia="仿宋_GB2312"/>
          <w:sz w:val="32"/>
          <w:szCs w:val="32"/>
        </w:rPr>
        <w:t>。</w:t>
      </w:r>
    </w:p>
    <w:p>
      <w:pPr>
        <w:widowControl/>
        <w:overflowPunct w:val="0"/>
        <w:adjustRightInd w:val="0"/>
        <w:spacing w:line="560" w:lineRule="exact"/>
        <w:ind w:firstLine="640" w:firstLineChars="200"/>
        <w:rPr>
          <w:rFonts w:eastAsia="仿宋_GB2312"/>
          <w:sz w:val="32"/>
          <w:szCs w:val="32"/>
        </w:rPr>
      </w:pPr>
      <w:r>
        <w:rPr>
          <w:rFonts w:hint="eastAsia" w:eastAsia="仿宋_GB2312"/>
          <w:sz w:val="32"/>
          <w:szCs w:val="32"/>
        </w:rPr>
        <w:t>当事人如对上述行政处罚决定不服，可以自收到本行政处罚决定书之日起六十日内，向国家市场监督管理总局申请行政复议；或者自收到本行政处罚决定书之日起六个月内，依法向人民法院提起行政诉讼。行政复议或者行政诉讼期间，本行政处罚决定不停止执行。</w:t>
      </w:r>
    </w:p>
    <w:p>
      <w:pPr>
        <w:widowControl/>
        <w:overflowPunct w:val="0"/>
        <w:adjustRightInd w:val="0"/>
        <w:spacing w:line="560" w:lineRule="exact"/>
        <w:ind w:firstLine="640" w:firstLineChars="200"/>
        <w:rPr>
          <w:rFonts w:eastAsia="仿宋_GB2312"/>
          <w:sz w:val="32"/>
          <w:szCs w:val="32"/>
        </w:rPr>
      </w:pPr>
    </w:p>
    <w:p>
      <w:pPr>
        <w:widowControl/>
        <w:overflowPunct w:val="0"/>
        <w:adjustRightInd w:val="0"/>
        <w:spacing w:line="560" w:lineRule="exact"/>
        <w:ind w:firstLine="640" w:firstLineChars="200"/>
        <w:rPr>
          <w:rFonts w:eastAsia="仿宋_GB2312"/>
          <w:sz w:val="32"/>
          <w:szCs w:val="32"/>
        </w:rPr>
      </w:pPr>
    </w:p>
    <w:p>
      <w:pPr>
        <w:widowControl/>
        <w:overflowPunct w:val="0"/>
        <w:adjustRightInd w:val="0"/>
        <w:spacing w:line="560" w:lineRule="exact"/>
        <w:ind w:firstLine="640" w:firstLineChars="200"/>
        <w:rPr>
          <w:rFonts w:eastAsia="仿宋_GB2312"/>
          <w:sz w:val="32"/>
          <w:szCs w:val="32"/>
        </w:rPr>
      </w:pPr>
    </w:p>
    <w:p>
      <w:pPr>
        <w:widowControl/>
        <w:overflowPunct w:val="0"/>
        <w:adjustRightInd w:val="0"/>
        <w:spacing w:line="560" w:lineRule="exact"/>
        <w:ind w:right="320" w:firstLine="640" w:firstLineChars="200"/>
        <w:rPr>
          <w:rFonts w:eastAsia="仿宋_GB2312"/>
          <w:sz w:val="32"/>
          <w:szCs w:val="32"/>
        </w:rPr>
      </w:pPr>
      <w:r>
        <w:rPr>
          <w:rFonts w:hint="eastAsia" w:eastAsia="仿宋_GB2312"/>
          <w:sz w:val="32"/>
          <w:szCs w:val="32"/>
        </w:rPr>
        <w:tab/>
      </w:r>
      <w:r>
        <w:rPr>
          <w:rFonts w:hint="eastAsia" w:eastAsia="仿宋_GB2312"/>
          <w:sz w:val="32"/>
          <w:szCs w:val="32"/>
        </w:rPr>
        <w:tab/>
      </w:r>
      <w:r>
        <w:rPr>
          <w:rFonts w:hint="eastAsia" w:eastAsia="仿宋_GB2312"/>
          <w:sz w:val="32"/>
          <w:szCs w:val="32"/>
        </w:rPr>
        <w:tab/>
      </w:r>
      <w:r>
        <w:rPr>
          <w:rFonts w:hint="eastAsia" w:eastAsia="仿宋_GB2312"/>
          <w:sz w:val="32"/>
          <w:szCs w:val="32"/>
        </w:rPr>
        <w:tab/>
      </w:r>
      <w:r>
        <w:rPr>
          <w:rFonts w:hint="eastAsia" w:eastAsia="仿宋_GB2312"/>
          <w:sz w:val="32"/>
          <w:szCs w:val="32"/>
        </w:rPr>
        <w:tab/>
      </w:r>
      <w:r>
        <w:rPr>
          <w:rFonts w:hint="eastAsia" w:eastAsia="仿宋_GB2312"/>
          <w:sz w:val="32"/>
          <w:szCs w:val="32"/>
        </w:rPr>
        <w:tab/>
      </w:r>
      <w:r>
        <w:rPr>
          <w:rFonts w:hint="eastAsia" w:eastAsia="仿宋_GB2312"/>
          <w:sz w:val="32"/>
          <w:szCs w:val="32"/>
        </w:rPr>
        <w:tab/>
      </w:r>
      <w:r>
        <w:rPr>
          <w:rFonts w:hint="eastAsia" w:eastAsia="仿宋_GB2312"/>
          <w:sz w:val="32"/>
          <w:szCs w:val="32"/>
          <w:lang w:val="en-US" w:eastAsia="zh-CN"/>
        </w:rPr>
        <w:t xml:space="preserve">     </w:t>
      </w:r>
      <w:r>
        <w:rPr>
          <w:rFonts w:hint="eastAsia" w:ascii="仿宋_GB2312" w:eastAsia="仿宋_GB2312"/>
          <w:sz w:val="32"/>
          <w:szCs w:val="32"/>
        </w:rPr>
        <w:t>市场监管总局</w:t>
      </w:r>
    </w:p>
    <w:p>
      <w:pPr>
        <w:widowControl/>
        <w:overflowPunct w:val="0"/>
        <w:adjustRightInd w:val="0"/>
        <w:spacing w:line="560" w:lineRule="exact"/>
        <w:ind w:firstLine="640" w:firstLineChars="200"/>
        <w:rPr>
          <w:rFonts w:eastAsia="仿宋_GB2312"/>
          <w:sz w:val="32"/>
          <w:szCs w:val="32"/>
        </w:rPr>
      </w:pPr>
      <w:r>
        <w:rPr>
          <w:rFonts w:hint="eastAsia" w:eastAsia="仿宋_GB2312"/>
          <w:sz w:val="32"/>
          <w:szCs w:val="32"/>
        </w:rPr>
        <w:t xml:space="preserve">                    2019年6月28日</w:t>
      </w:r>
    </w:p>
    <w:p>
      <w:pPr>
        <w:widowControl/>
        <w:overflowPunct w:val="0"/>
        <w:adjustRightInd w:val="0"/>
        <w:spacing w:line="560" w:lineRule="exact"/>
        <w:ind w:firstLine="640" w:firstLineChars="200"/>
        <w:rPr>
          <w:rFonts w:eastAsia="仿宋_GB2312"/>
          <w:sz w:val="32"/>
          <w:szCs w:val="32"/>
        </w:rPr>
      </w:pPr>
    </w:p>
    <w:p>
      <w:pPr>
        <w:overflowPunct w:val="0"/>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Arial Unicode MS"/>
    <w:panose1 w:val="03000509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altName w:val="Arial Unicode MS"/>
    <w:panose1 w:val="03000509000000000000"/>
    <w:charset w:val="86"/>
    <w:family w:val="script"/>
    <w:pitch w:val="default"/>
    <w:sig w:usb0="00000000" w:usb1="00000000" w:usb2="00000000" w:usb3="00000000" w:csb0="00040000" w:csb1="00000000"/>
  </w:font>
  <w:font w:name="方正黑体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7324437"/>
      <w:docPartObj>
        <w:docPartGallery w:val="autotext"/>
      </w:docPartObj>
    </w:sdtPr>
    <w:sdtContent>
      <w:p>
        <w:pPr>
          <w:pStyle w:val="4"/>
          <w:jc w:val="center"/>
        </w:pPr>
        <w:r>
          <w:fldChar w:fldCharType="begin"/>
        </w:r>
        <w:r>
          <w:instrText xml:space="preserve"> PAGE   \* MERGEFORMAT </w:instrText>
        </w:r>
        <w:r>
          <w:fldChar w:fldCharType="separate"/>
        </w:r>
        <w:r>
          <w:rPr>
            <w:lang w:val="zh-CN"/>
          </w:rPr>
          <w:t>2</w:t>
        </w:r>
        <w:r>
          <w:rPr>
            <w:lang w:val="zh-CN"/>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76C6B"/>
    <w:rsid w:val="000531C0"/>
    <w:rsid w:val="000A33C4"/>
    <w:rsid w:val="00150327"/>
    <w:rsid w:val="001D49BB"/>
    <w:rsid w:val="001E4BB8"/>
    <w:rsid w:val="002529C6"/>
    <w:rsid w:val="002909B7"/>
    <w:rsid w:val="002B74A8"/>
    <w:rsid w:val="003B5B4B"/>
    <w:rsid w:val="003C0351"/>
    <w:rsid w:val="00430373"/>
    <w:rsid w:val="0045069F"/>
    <w:rsid w:val="00545866"/>
    <w:rsid w:val="00555A22"/>
    <w:rsid w:val="00576C6B"/>
    <w:rsid w:val="006A3CE9"/>
    <w:rsid w:val="006F57A6"/>
    <w:rsid w:val="00772ACC"/>
    <w:rsid w:val="00787B00"/>
    <w:rsid w:val="008334A1"/>
    <w:rsid w:val="00845BD7"/>
    <w:rsid w:val="0087042E"/>
    <w:rsid w:val="00941ED6"/>
    <w:rsid w:val="00982D6A"/>
    <w:rsid w:val="00990E32"/>
    <w:rsid w:val="009A6A43"/>
    <w:rsid w:val="00A80A00"/>
    <w:rsid w:val="00A970C5"/>
    <w:rsid w:val="00AC1495"/>
    <w:rsid w:val="00B62B47"/>
    <w:rsid w:val="00CC4097"/>
    <w:rsid w:val="00D7094C"/>
    <w:rsid w:val="00D77F3C"/>
    <w:rsid w:val="00DE66B9"/>
    <w:rsid w:val="00E204F3"/>
    <w:rsid w:val="00E50271"/>
    <w:rsid w:val="00E70246"/>
    <w:rsid w:val="00E77AB9"/>
    <w:rsid w:val="00E84E99"/>
    <w:rsid w:val="00EA38BB"/>
    <w:rsid w:val="00F47568"/>
    <w:rsid w:val="00F47E6D"/>
    <w:rsid w:val="00F93B70"/>
    <w:rsid w:val="2C5E3085"/>
    <w:rsid w:val="372019B2"/>
    <w:rsid w:val="56C616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0"/>
    <w:qFormat/>
    <w:uiPriority w:val="0"/>
    <w:pPr>
      <w:spacing w:afterLines="50" w:line="640" w:lineRule="exact"/>
      <w:jc w:val="center"/>
      <w:outlineLvl w:val="0"/>
    </w:pPr>
    <w:rPr>
      <w:rFonts w:ascii="方正小标宋简体" w:eastAsia="方正小标宋简体"/>
      <w:kern w:val="0"/>
      <w:sz w:val="44"/>
      <w:szCs w:val="36"/>
    </w:rPr>
  </w:style>
  <w:style w:type="character" w:default="1" w:styleId="6">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3">
    <w:name w:val="Body Text"/>
    <w:basedOn w:val="1"/>
    <w:link w:val="13"/>
    <w:qFormat/>
    <w:uiPriority w:val="0"/>
    <w:pPr>
      <w:spacing w:after="120"/>
    </w:pPr>
    <w:rPr>
      <w:rFonts w:ascii="仿宋_GB2312" w:eastAsia="仿宋_GB2312"/>
      <w:sz w:val="28"/>
    </w:rPr>
  </w:style>
  <w:style w:type="paragraph" w:styleId="4">
    <w:name w:val="footer"/>
    <w:basedOn w:val="1"/>
    <w:link w:val="9"/>
    <w:unhideWhenUsed/>
    <w:uiPriority w:val="99"/>
    <w:pPr>
      <w:tabs>
        <w:tab w:val="center" w:pos="4153"/>
        <w:tab w:val="right" w:pos="8306"/>
      </w:tabs>
      <w:snapToGrid w:val="0"/>
      <w:jc w:val="left"/>
    </w:pPr>
    <w:rPr>
      <w:sz w:val="18"/>
      <w:szCs w:val="18"/>
    </w:rPr>
  </w:style>
  <w:style w:type="paragraph" w:styleId="5">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6"/>
    <w:link w:val="5"/>
    <w:semiHidden/>
    <w:uiPriority w:val="99"/>
    <w:rPr>
      <w:sz w:val="18"/>
      <w:szCs w:val="18"/>
    </w:rPr>
  </w:style>
  <w:style w:type="character" w:customStyle="1" w:styleId="9">
    <w:name w:val="页脚 Char"/>
    <w:basedOn w:val="6"/>
    <w:link w:val="4"/>
    <w:qFormat/>
    <w:uiPriority w:val="99"/>
    <w:rPr>
      <w:sz w:val="18"/>
      <w:szCs w:val="18"/>
    </w:rPr>
  </w:style>
  <w:style w:type="character" w:customStyle="1" w:styleId="10">
    <w:name w:val="标题 1 Char"/>
    <w:basedOn w:val="6"/>
    <w:link w:val="2"/>
    <w:qFormat/>
    <w:uiPriority w:val="0"/>
    <w:rPr>
      <w:rFonts w:ascii="方正小标宋简体" w:hAnsi="Times New Roman" w:eastAsia="方正小标宋简体" w:cs="Times New Roman"/>
      <w:kern w:val="0"/>
      <w:sz w:val="44"/>
      <w:szCs w:val="36"/>
    </w:rPr>
  </w:style>
  <w:style w:type="character" w:customStyle="1" w:styleId="11">
    <w:name w:val="名称 Char"/>
    <w:link w:val="12"/>
    <w:qFormat/>
    <w:uiPriority w:val="0"/>
    <w:rPr>
      <w:b/>
      <w:sz w:val="44"/>
    </w:rPr>
  </w:style>
  <w:style w:type="paragraph" w:customStyle="1" w:styleId="12">
    <w:name w:val="名称"/>
    <w:basedOn w:val="1"/>
    <w:link w:val="11"/>
    <w:qFormat/>
    <w:uiPriority w:val="0"/>
    <w:pPr>
      <w:jc w:val="center"/>
    </w:pPr>
    <w:rPr>
      <w:rFonts w:asciiTheme="minorHAnsi" w:hAnsiTheme="minorHAnsi" w:eastAsiaTheme="minorEastAsia" w:cstheme="minorBidi"/>
      <w:b/>
      <w:sz w:val="44"/>
      <w:szCs w:val="22"/>
    </w:rPr>
  </w:style>
  <w:style w:type="character" w:customStyle="1" w:styleId="13">
    <w:name w:val="正文文本 Char"/>
    <w:basedOn w:val="6"/>
    <w:link w:val="3"/>
    <w:uiPriority w:val="0"/>
    <w:rPr>
      <w:rFonts w:ascii="仿宋_GB2312" w:hAnsi="Times New Roman" w:eastAsia="仿宋_GB2312" w:cs="Times New Roman"/>
      <w:sz w:val="28"/>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169</Words>
  <Characters>967</Characters>
  <Lines>8</Lines>
  <Paragraphs>2</Paragraphs>
  <TotalTime>0</TotalTime>
  <ScaleCrop>false</ScaleCrop>
  <LinksUpToDate>false</LinksUpToDate>
  <CharactersWithSpaces>1134</CharactersWithSpaces>
  <Application>WPS Office_10.8.2.7129_F1E327BC-269C-435d-A152-05C5408002CA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2019-06-14T07:12:00Z</dcterms:created>
  <dc:creator>曾川</dc:creator>
  <cp:lastModifiedBy>李炜琛</cp:lastModifiedBy>
  <cp:lastPrinted>2019-06-27T09:49:00Z</cp:lastPrinted>
  <dcterms:modified xsi:type="dcterms:W3CDTF">2020-04-16T06:28:29Z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2052-10.8.2.7129</vt:lpwstr>
  </property>
</Properties>
</file>