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after="156"/>
        <w:jc w:val="both"/>
        <w:rPr>
          <w:rStyle w:val="11"/>
          <w:rFonts w:ascii="Times New Roman"/>
          <w:b w:val="0"/>
        </w:rPr>
      </w:pPr>
      <w:bookmarkStart w:id="0" w:name="_Toc527378180"/>
      <w:bookmarkStart w:id="1" w:name="_Toc529343115"/>
      <w:bookmarkStart w:id="2" w:name="_Toc20821"/>
      <w:bookmarkStart w:id="3" w:name="_Toc527306885"/>
      <w:bookmarkStart w:id="4" w:name="_Toc528826261"/>
      <w:bookmarkStart w:id="5" w:name="_Toc527562385"/>
    </w:p>
    <w:p>
      <w:pPr>
        <w:pStyle w:val="2"/>
        <w:overflowPunct w:val="0"/>
        <w:spacing w:after="156"/>
        <w:rPr>
          <w:rStyle w:val="11"/>
          <w:rFonts w:ascii="Times New Roman"/>
          <w:b w:val="0"/>
        </w:rPr>
      </w:pPr>
      <w:r>
        <w:rPr>
          <w:rStyle w:val="11"/>
          <w:rFonts w:hint="eastAsia" w:ascii="Times New Roman"/>
          <w:b w:val="0"/>
        </w:rPr>
        <w:t>国家市场监督管理总局</w:t>
      </w:r>
      <w:r>
        <w:rPr>
          <w:rStyle w:val="11"/>
          <w:rFonts w:hint="eastAsia" w:ascii="Times New Roman"/>
          <w:b w:val="0"/>
        </w:rPr>
        <w:br w:type="textWrapping"/>
      </w:r>
      <w:r>
        <w:rPr>
          <w:rStyle w:val="11"/>
          <w:rFonts w:hint="eastAsia" w:ascii="Times New Roman"/>
          <w:b w:val="0"/>
        </w:rPr>
        <w:t>行政处罚决定书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overflowPunct w:val="0"/>
        <w:jc w:val="center"/>
        <w:rPr>
          <w:rFonts w:ascii="Times New Roman"/>
          <w:sz w:val="24"/>
        </w:rPr>
      </w:pPr>
      <w:r>
        <w:rPr>
          <w:rFonts w:hint="eastAsia" w:ascii="Times New Roman"/>
          <w:sz w:val="32"/>
          <w:szCs w:val="32"/>
        </w:rPr>
        <w:t>国市监处〔2019〕25号</w:t>
      </w:r>
    </w:p>
    <w:p>
      <w:pPr>
        <w:widowControl/>
        <w:overflowPunct w:val="0"/>
        <w:adjustRightInd w:val="0"/>
        <w:snapToGri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bookmarkStart w:id="6" w:name="litigantInfo"/>
      <w:bookmarkEnd w:id="6"/>
      <w:r>
        <w:rPr>
          <w:rFonts w:hint="eastAsia" w:eastAsia="黑体" w:cs="Arial"/>
          <w:sz w:val="32"/>
          <w:szCs w:val="32"/>
        </w:rPr>
        <w:t>一、当事人情况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李东霞，女，住所：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二、案件来源及调查经过</w:t>
      </w:r>
    </w:p>
    <w:p>
      <w:pPr>
        <w:overflowPunct w:val="0"/>
        <w:spacing w:line="594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方正仿宋_GBK"/>
          <w:color w:val="000000"/>
          <w:sz w:val="32"/>
          <w:szCs w:val="32"/>
        </w:rPr>
        <w:t>根据举报，本机关依法于</w:t>
      </w:r>
      <w:r>
        <w:rPr>
          <w:rFonts w:hint="eastAsia" w:eastAsia="仿宋_GB2312"/>
          <w:color w:val="000000"/>
          <w:sz w:val="32"/>
          <w:szCs w:val="32"/>
        </w:rPr>
        <w:t>2019</w:t>
      </w:r>
      <w:r>
        <w:rPr>
          <w:rFonts w:hint="eastAsia" w:eastAsia="仿宋_GB2312" w:cs="方正仿宋_GBK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hint="eastAsia" w:eastAsia="仿宋_GB2312" w:cs="方正仿宋_GBK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>23</w:t>
      </w:r>
      <w:r>
        <w:rPr>
          <w:rFonts w:hint="eastAsia" w:eastAsia="仿宋_GB2312" w:cs="方正仿宋_GBK"/>
          <w:color w:val="000000"/>
          <w:sz w:val="32"/>
          <w:szCs w:val="32"/>
        </w:rPr>
        <w:t>日对山东康惠医药有限公司（以下简称康惠公司）涉嫌实施原料药垄断行为开展反垄断调查，当事人系该公司员工。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三、违法事实及相关证据</w:t>
      </w:r>
    </w:p>
    <w:p>
      <w:pPr>
        <w:overflowPunct w:val="0"/>
        <w:spacing w:line="594" w:lineRule="exact"/>
        <w:ind w:firstLine="640" w:firstLineChars="200"/>
        <w:rPr>
          <w:rFonts w:eastAsia="仿宋_GB2312" w:cs="方正黑体_GBK"/>
          <w:sz w:val="32"/>
          <w:szCs w:val="32"/>
        </w:rPr>
      </w:pPr>
      <w:r>
        <w:rPr>
          <w:rFonts w:hint="eastAsia" w:eastAsia="仿宋_GB2312" w:cs="方正黑体_GBK"/>
          <w:sz w:val="32"/>
          <w:szCs w:val="32"/>
        </w:rPr>
        <w:t>5月23日上午9时许，本机关执法人员进入康惠公司经营场所进行调查，出具《调查通知书》，并出示执法证件。调查过程中，康惠公司为应对执法，将存储监控录像的硬盘和存储数据库材料的硬盘拆除，当事人将上述硬盘隐匿、转移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以上事实，有调查询问笔录、公安部门的办案记录等证据为证。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四、行政处罚依据和决定</w:t>
      </w:r>
    </w:p>
    <w:p>
      <w:pPr>
        <w:overflowPunct w:val="0"/>
        <w:spacing w:line="594" w:lineRule="exact"/>
        <w:ind w:firstLine="640" w:firstLineChars="200"/>
        <w:rPr>
          <w:rFonts w:eastAsia="仿宋_GB2312" w:cs="方正仿宋_GBK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为，对原料药经销企业依法开展反垄断调查，是预防和制止原料药领域垄断行为，保护市场公平竞争和患者合法权益的重要法律措施。当事人作为康惠公司员工，对本机关依法开展的调查不予配合，严重影响了执法工作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 w:cs="方正仿宋_GBK"/>
          <w:color w:val="000000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本机关认定，</w:t>
      </w:r>
      <w:r>
        <w:rPr>
          <w:rFonts w:hint="eastAsia" w:eastAsia="仿宋_GB2312" w:cs="方正仿宋_GBK"/>
          <w:color w:val="000000"/>
          <w:sz w:val="32"/>
          <w:szCs w:val="32"/>
        </w:rPr>
        <w:t>当事人的上述行为违反了《中华人民共和国反垄断法》第四十二条规定，构成了拒绝提供有关材料、信息，隐匿、转移证据，拒绝、阻碍反垄断执法机构调查的违法行为，性质恶劣、情节严重。</w:t>
      </w:r>
      <w:r>
        <w:rPr>
          <w:rFonts w:hint="eastAsia" w:eastAsia="仿宋_GB2312" w:cs="方正仿宋_GBK"/>
          <w:sz w:val="32"/>
          <w:szCs w:val="32"/>
        </w:rPr>
        <w:t>依据《中华人民共和国反垄断法》</w:t>
      </w:r>
      <w:r>
        <w:rPr>
          <w:rFonts w:hint="eastAsia" w:eastAsia="仿宋_GB2312" w:cs="方正仿宋_GBK"/>
          <w:color w:val="000000"/>
          <w:sz w:val="32"/>
          <w:szCs w:val="32"/>
        </w:rPr>
        <w:t>第五十二条</w:t>
      </w:r>
      <w:r>
        <w:rPr>
          <w:rFonts w:hint="eastAsia" w:eastAsia="仿宋_GB2312" w:cs="方正仿宋_GBK"/>
          <w:sz w:val="32"/>
          <w:szCs w:val="32"/>
        </w:rPr>
        <w:t>规定，</w:t>
      </w:r>
      <w:r>
        <w:rPr>
          <w:rFonts w:hint="eastAsia" w:eastAsia="仿宋_GB2312" w:cs="方正仿宋_GBK"/>
          <w:color w:val="000000"/>
          <w:sz w:val="32"/>
          <w:szCs w:val="32"/>
        </w:rPr>
        <w:t>本机关</w:t>
      </w:r>
      <w:r>
        <w:rPr>
          <w:rFonts w:hint="eastAsia" w:eastAsia="仿宋_GB2312" w:cs="方正仿宋_GBK"/>
          <w:color w:val="000000"/>
          <w:sz w:val="32"/>
          <w:szCs w:val="32"/>
          <w:lang w:eastAsia="zh-CN"/>
        </w:rPr>
        <w:t>决定</w:t>
      </w:r>
      <w:r>
        <w:rPr>
          <w:rFonts w:hint="eastAsia" w:eastAsia="仿宋_GB2312" w:cs="方正仿宋_GBK"/>
          <w:color w:val="000000"/>
          <w:sz w:val="32"/>
          <w:szCs w:val="32"/>
        </w:rPr>
        <w:t>对当事人处以罚款5万元（大写：人民币伍万元整）。</w:t>
      </w:r>
      <w:bookmarkStart w:id="7" w:name="_GoBack"/>
      <w:bookmarkEnd w:id="7"/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依据《中华人民共和国行政处罚法》第四十六条规定，当事人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缴纳罚款。缴款码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right="32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市场监管总局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2019年6月28日</w:t>
      </w:r>
    </w:p>
    <w:p>
      <w:pPr>
        <w:overflowPunct w:val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46656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C6B"/>
    <w:rsid w:val="00027809"/>
    <w:rsid w:val="000531C0"/>
    <w:rsid w:val="00082D7C"/>
    <w:rsid w:val="000B45A9"/>
    <w:rsid w:val="000C0019"/>
    <w:rsid w:val="000E7022"/>
    <w:rsid w:val="00186DD3"/>
    <w:rsid w:val="00224686"/>
    <w:rsid w:val="00234DAE"/>
    <w:rsid w:val="002529C6"/>
    <w:rsid w:val="003C5F41"/>
    <w:rsid w:val="00430373"/>
    <w:rsid w:val="004977BC"/>
    <w:rsid w:val="005229E2"/>
    <w:rsid w:val="00555A22"/>
    <w:rsid w:val="00576C6B"/>
    <w:rsid w:val="00585E7F"/>
    <w:rsid w:val="00596D79"/>
    <w:rsid w:val="005E67C2"/>
    <w:rsid w:val="00663133"/>
    <w:rsid w:val="00687B49"/>
    <w:rsid w:val="006B203B"/>
    <w:rsid w:val="006C1680"/>
    <w:rsid w:val="007276A4"/>
    <w:rsid w:val="00772ACC"/>
    <w:rsid w:val="007E4607"/>
    <w:rsid w:val="008334A1"/>
    <w:rsid w:val="008E16AB"/>
    <w:rsid w:val="00A80A00"/>
    <w:rsid w:val="00A970C5"/>
    <w:rsid w:val="00AB2A02"/>
    <w:rsid w:val="00AB3935"/>
    <w:rsid w:val="00AC1495"/>
    <w:rsid w:val="00AC22FC"/>
    <w:rsid w:val="00B33345"/>
    <w:rsid w:val="00B33C50"/>
    <w:rsid w:val="00B62B47"/>
    <w:rsid w:val="00BA5E82"/>
    <w:rsid w:val="00C53067"/>
    <w:rsid w:val="00CB79AC"/>
    <w:rsid w:val="00CC4097"/>
    <w:rsid w:val="00D7013F"/>
    <w:rsid w:val="00D7094C"/>
    <w:rsid w:val="00D90112"/>
    <w:rsid w:val="00DA5905"/>
    <w:rsid w:val="00DE66B9"/>
    <w:rsid w:val="00E46F77"/>
    <w:rsid w:val="00ED6917"/>
    <w:rsid w:val="00EF5B3F"/>
    <w:rsid w:val="16971046"/>
    <w:rsid w:val="476762D6"/>
    <w:rsid w:val="5981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afterLines="50" w:line="640" w:lineRule="exact"/>
      <w:jc w:val="center"/>
      <w:outlineLvl w:val="0"/>
    </w:pPr>
    <w:rPr>
      <w:rFonts w:ascii="方正小标宋简体" w:eastAsia="方正小标宋简体"/>
      <w:kern w:val="0"/>
      <w:sz w:val="44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仿宋_GB2312" w:eastAsia="仿宋_GB2312"/>
      <w:sz w:val="2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0"/>
    <w:rPr>
      <w:rFonts w:ascii="方正小标宋简体" w:hAnsi="Times New Roman" w:eastAsia="方正小标宋简体" w:cs="Times New Roman"/>
      <w:kern w:val="0"/>
      <w:sz w:val="44"/>
      <w:szCs w:val="36"/>
    </w:rPr>
  </w:style>
  <w:style w:type="character" w:customStyle="1" w:styleId="11">
    <w:name w:val="名称 Char"/>
    <w:link w:val="12"/>
    <w:qFormat/>
    <w:uiPriority w:val="0"/>
    <w:rPr>
      <w:b/>
      <w:sz w:val="44"/>
    </w:rPr>
  </w:style>
  <w:style w:type="paragraph" w:customStyle="1" w:styleId="12">
    <w:name w:val="名称"/>
    <w:basedOn w:val="1"/>
    <w:link w:val="11"/>
    <w:uiPriority w:val="0"/>
    <w:pPr>
      <w:jc w:val="center"/>
    </w:pPr>
    <w:rPr>
      <w:rFonts w:asciiTheme="minorHAnsi" w:hAnsiTheme="minorHAnsi" w:eastAsiaTheme="minorEastAsia" w:cstheme="minorBidi"/>
      <w:b/>
      <w:sz w:val="44"/>
      <w:szCs w:val="22"/>
    </w:rPr>
  </w:style>
  <w:style w:type="character" w:customStyle="1" w:styleId="13">
    <w:name w:val="正文文本 Char"/>
    <w:basedOn w:val="6"/>
    <w:link w:val="3"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92C09B-4678-4D20-A18F-55D3FEB323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758</Characters>
  <Lines>6</Lines>
  <Paragraphs>1</Paragraphs>
  <TotalTime>0</TotalTime>
  <ScaleCrop>false</ScaleCrop>
  <LinksUpToDate>false</LinksUpToDate>
  <CharactersWithSpaces>889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2019-06-14T07:12:00Z</dcterms:created>
  <dc:creator>曾川</dc:creator>
  <cp:lastModifiedBy>李炜琛</cp:lastModifiedBy>
  <dcterms:modified xsi:type="dcterms:W3CDTF">2020-04-16T06:28:50Z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