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adjustRightInd/>
        <w:spacing w:line="600" w:lineRule="exact"/>
        <w:jc w:val="center"/>
        <w:textAlignment w:val="auto"/>
        <w:outlineLvl w:val="9"/>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lang w:val="en-US" w:eastAsia="zh-CN"/>
        </w:rPr>
        <w:t xml:space="preserve"> </w:t>
      </w:r>
      <w:r>
        <w:rPr>
          <w:rFonts w:hint="eastAsia" w:ascii="Times New Roman" w:hAnsi="Times New Roman" w:eastAsia="方正小标宋简体" w:cs="方正小标宋简体"/>
          <w:bCs/>
          <w:sz w:val="44"/>
          <w:szCs w:val="44"/>
        </w:rPr>
        <w:t>国家市场监督管理总局</w:t>
      </w:r>
    </w:p>
    <w:p>
      <w:pPr>
        <w:keepNext w:val="0"/>
        <w:keepLines w:val="0"/>
        <w:pageBreakBefore w:val="0"/>
        <w:widowControl w:val="0"/>
        <w:kinsoku/>
        <w:topLinePunct w:val="0"/>
        <w:autoSpaceDE/>
        <w:autoSpaceDN/>
        <w:bidi w:val="0"/>
        <w:adjustRightInd/>
        <w:spacing w:line="600" w:lineRule="exact"/>
        <w:jc w:val="center"/>
        <w:textAlignment w:val="auto"/>
        <w:outlineLvl w:val="9"/>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keepNext w:val="0"/>
        <w:keepLines w:val="0"/>
        <w:pageBreakBefore w:val="0"/>
        <w:widowControl w:val="0"/>
        <w:kinsoku/>
        <w:wordWrap w:val="0"/>
        <w:topLinePunct w:val="0"/>
        <w:autoSpaceDE/>
        <w:autoSpaceDN/>
        <w:bidi w:val="0"/>
        <w:adjustRightInd/>
        <w:snapToGrid w:val="0"/>
        <w:spacing w:beforeLines="100" w:afterLines="100" w:line="600" w:lineRule="exact"/>
        <w:jc w:val="center"/>
        <w:textAlignment w:val="auto"/>
        <w:outlineLvl w:val="9"/>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14omtoAAAALAQAADwAAAAAAAAABACAAAAAiAAAAZHJzL2Rvd25yZXYueG1sUEsBAhQAFAAAAAgA&#10;h07iQATrTdzqAQAAsAMAAA4AAAAAAAAAAQAgAAAAKQEAAGRycy9lMm9Eb2MueG1sUEsFBgAAAAAG&#10;AAYAWQEAAIUFA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rPr>
        <w:t>国市监处〔2020〕</w:t>
      </w:r>
      <w:r>
        <w:rPr>
          <w:rFonts w:hint="eastAsia" w:ascii="Times New Roman" w:hAnsi="Times New Roman" w:eastAsia="仿宋_GB2312" w:cs="仿宋"/>
          <w:color w:val="000000"/>
          <w:sz w:val="32"/>
          <w:szCs w:val="32"/>
          <w:lang w:val="en-US" w:eastAsia="zh-CN"/>
        </w:rPr>
        <w:t>20</w:t>
      </w:r>
      <w:r>
        <w:rPr>
          <w:rFonts w:hint="eastAsia" w:ascii="Times New Roman" w:hAnsi="Times New Roman" w:eastAsia="仿宋_GB2312" w:cs="仿宋"/>
          <w:color w:val="000000"/>
          <w:sz w:val="32"/>
          <w:szCs w:val="32"/>
        </w:rPr>
        <w:t>号</w:t>
      </w:r>
    </w:p>
    <w:p>
      <w:pPr>
        <w:keepNext w:val="0"/>
        <w:keepLines w:val="0"/>
        <w:pageBreakBefore w:val="0"/>
        <w:widowControl w:val="0"/>
        <w:kinsoku/>
        <w:topLinePunct w:val="0"/>
        <w:autoSpaceDE/>
        <w:autoSpaceDN/>
        <w:bidi w:val="0"/>
        <w:adjustRightInd/>
        <w:spacing w:line="600" w:lineRule="exact"/>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当事人：瑞幸咖啡（北京）有限公司                                               </w:t>
      </w:r>
    </w:p>
    <w:p>
      <w:pPr>
        <w:keepNext w:val="0"/>
        <w:keepLines w:val="0"/>
        <w:pageBreakBefore w:val="0"/>
        <w:widowControl w:val="0"/>
        <w:kinsoku/>
        <w:topLinePunct w:val="0"/>
        <w:autoSpaceDE/>
        <w:autoSpaceDN/>
        <w:bidi w:val="0"/>
        <w:adjustRightInd/>
        <w:spacing w:line="600" w:lineRule="exact"/>
        <w:ind w:left="140" w:hanging="140"/>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主体资格证照名称：营业执照   </w:t>
      </w:r>
    </w:p>
    <w:p>
      <w:pPr>
        <w:keepNext w:val="0"/>
        <w:keepLines w:val="0"/>
        <w:pageBreakBefore w:val="0"/>
        <w:widowControl w:val="0"/>
        <w:kinsoku/>
        <w:topLinePunct w:val="0"/>
        <w:autoSpaceDE/>
        <w:autoSpaceDN/>
        <w:bidi w:val="0"/>
        <w:adjustRightInd/>
        <w:spacing w:line="600" w:lineRule="exact"/>
        <w:ind w:left="140" w:hanging="140"/>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统一社会信用代码：</w:t>
      </w:r>
      <w:r>
        <w:rPr>
          <w:rFonts w:ascii="仿宋_GB2312" w:hAnsi="Times New Roman" w:eastAsia="仿宋_GB2312" w:cs="Mongolian Baiti"/>
          <w:color w:val="000000" w:themeColor="text1"/>
          <w:kern w:val="1"/>
          <w:sz w:val="32"/>
          <w:szCs w:val="32"/>
          <w14:textFill>
            <w14:solidFill>
              <w14:schemeClr w14:val="tx1"/>
            </w14:solidFill>
          </w14:textFill>
        </w:rPr>
        <w:t>91110108MA018FG04E</w:t>
      </w: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楷体_GB2312" w:eastAsia="仿宋_GB2312" w:cs="楷体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lang w:eastAsia="zh-CN"/>
          <w14:textFill>
            <w14:solidFill>
              <w14:schemeClr w14:val="tx1"/>
            </w14:solidFill>
          </w14:textFill>
        </w:rPr>
        <w:t>根据相关线索，</w:t>
      </w:r>
      <w:r>
        <w:rPr>
          <w:rFonts w:hint="eastAsia" w:eastAsia="仿宋_GB2312" w:cs="仿宋_GB2312"/>
          <w:sz w:val="32"/>
          <w:szCs w:val="32"/>
          <w:lang w:eastAsia="zh-CN"/>
        </w:rPr>
        <w:t>本局</w:t>
      </w:r>
      <w:r>
        <w:rPr>
          <w:rFonts w:hint="eastAsia" w:ascii="仿宋_GB2312" w:hAnsi="楷体_GB2312" w:eastAsia="仿宋_GB2312" w:cs="楷体_GB2312"/>
          <w:color w:val="000000" w:themeColor="text1"/>
          <w:sz w:val="32"/>
          <w:szCs w:val="32"/>
          <w:lang w:eastAsia="zh-CN"/>
          <w14:textFill>
            <w14:solidFill>
              <w14:schemeClr w14:val="tx1"/>
            </w14:solidFill>
          </w14:textFill>
        </w:rPr>
        <w:t>依法</w:t>
      </w:r>
      <w:r>
        <w:rPr>
          <w:rFonts w:hint="eastAsia" w:ascii="仿宋_GB2312" w:hAnsi="楷体_GB2312" w:eastAsia="仿宋_GB2312" w:cs="楷体_GB2312"/>
          <w:color w:val="000000" w:themeColor="text1"/>
          <w:sz w:val="32"/>
          <w:szCs w:val="32"/>
          <w14:textFill>
            <w14:solidFill>
              <w14:schemeClr w14:val="tx1"/>
            </w14:solidFill>
          </w14:textFill>
        </w:rPr>
        <w:t>对当事人</w:t>
      </w:r>
      <w:r>
        <w:rPr>
          <w:rFonts w:hint="eastAsia" w:ascii="仿宋_GB2312" w:hAnsi="楷体_GB2312" w:eastAsia="仿宋_GB2312" w:cs="楷体_GB2312"/>
          <w:color w:val="000000" w:themeColor="text1"/>
          <w:sz w:val="32"/>
          <w:szCs w:val="32"/>
          <w:lang w:eastAsia="zh-CN"/>
          <w14:textFill>
            <w14:solidFill>
              <w14:schemeClr w14:val="tx1"/>
            </w14:solidFill>
          </w14:textFill>
        </w:rPr>
        <w:t>涉嫌不正当竞争开展</w:t>
      </w:r>
      <w:r>
        <w:rPr>
          <w:rFonts w:hint="eastAsia" w:ascii="仿宋_GB2312" w:hAnsi="楷体_GB2312" w:eastAsia="仿宋_GB2312" w:cs="楷体_GB2312"/>
          <w:color w:val="000000" w:themeColor="text1"/>
          <w:sz w:val="32"/>
          <w:szCs w:val="32"/>
          <w14:textFill>
            <w14:solidFill>
              <w14:schemeClr w14:val="tx1"/>
            </w14:solidFill>
          </w14:textFill>
        </w:rPr>
        <w:t>立案调查</w:t>
      </w:r>
      <w:r>
        <w:rPr>
          <w:rFonts w:hint="eastAsia" w:ascii="仿宋_GB2312" w:hAnsi="楷体_GB2312" w:eastAsia="仿宋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z w:val="32"/>
          <w:szCs w:val="32"/>
        </w:rPr>
        <w:t>调查过程中，依法调取相关证据材料，并制作询问笔录，期间，未对当事人采取强制措施</w:t>
      </w:r>
      <w:r>
        <w:rPr>
          <w:rFonts w:hint="eastAsia" w:ascii="仿宋_GB2312" w:hAnsi="楷体_GB2312" w:eastAsia="仿宋_GB2312" w:cs="楷体_GB2312"/>
          <w:color w:val="000000" w:themeColor="text1"/>
          <w:sz w:val="32"/>
          <w:szCs w:val="32"/>
          <w14:textFill>
            <w14:solidFill>
              <w14:schemeClr w14:val="tx1"/>
            </w14:solidFill>
          </w14:textFill>
        </w:rPr>
        <w:t>。</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hint="eastAsia"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经查，当事人成立于2017年10月，与瑞幸咖啡（中国）有限公司（以下简称“瑞幸中国公司”）共同作为瑞幸咖啡连锁品牌的经营总部开展业务。经营范围为咖啡馆服务（自制饮品）等。</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ascii="仿宋_GB2312" w:hAnsi="楷体_GB2312" w:eastAsia="仿宋_GB2312" w:cs="楷体_GB2312"/>
          <w:sz w:val="32"/>
          <w:szCs w:val="32"/>
        </w:rPr>
      </w:pPr>
      <w:r>
        <w:rPr>
          <w:rFonts w:hint="eastAsia" w:ascii="仿宋_GB2312" w:hAnsi="楷体_GB2312" w:eastAsia="仿宋_GB2312" w:cs="楷体_GB2312"/>
          <w:color w:val="000000" w:themeColor="text1"/>
          <w:sz w:val="32"/>
          <w:szCs w:val="32"/>
          <w14:textFill>
            <w14:solidFill>
              <w14:schemeClr w14:val="tx1"/>
            </w14:solidFill>
          </w14:textFill>
        </w:rPr>
        <w:t>2019年4月至12月期间，当事人及瑞幸中国公司为获取竞争优势及交易机会，在北京车行天下咨询服务有限公司、北京神州优通科技发展有限公司、征者国际贸易（厦门）有限公司等多家往来企业帮助下，虚假提升了瑞幸</w:t>
      </w:r>
      <w:r>
        <w:rPr>
          <w:rFonts w:hint="eastAsia" w:ascii="仿宋_GB2312" w:hAnsi="楷体_GB2312" w:eastAsia="仿宋_GB2312" w:cs="楷体_GB2312"/>
          <w:color w:val="000000" w:themeColor="text1"/>
          <w:sz w:val="32"/>
          <w:szCs w:val="32"/>
          <w:lang w:eastAsia="zh-CN"/>
          <w14:textFill>
            <w14:solidFill>
              <w14:schemeClr w14:val="tx1"/>
            </w14:solidFill>
          </w14:textFill>
        </w:rPr>
        <w:t>咖啡</w:t>
      </w:r>
      <w:r>
        <w:rPr>
          <w:rFonts w:hint="eastAsia" w:ascii="仿宋_GB2312" w:hAnsi="楷体_GB2312" w:eastAsia="仿宋_GB2312" w:cs="楷体_GB2312"/>
          <w:color w:val="000000" w:themeColor="text1"/>
          <w:sz w:val="32"/>
          <w:szCs w:val="32"/>
          <w14:textFill>
            <w14:solidFill>
              <w14:schemeClr w14:val="tx1"/>
            </w14:solidFill>
          </w14:textFill>
        </w:rPr>
        <w:t>2019年度</w:t>
      </w:r>
      <w:r>
        <w:rPr>
          <w:rFonts w:hint="eastAsia" w:ascii="仿宋_GB2312" w:hAnsi="楷体_GB2312" w:eastAsia="仿宋_GB2312" w:cs="楷体_GB2312"/>
          <w:color w:val="000000" w:themeColor="text1"/>
          <w:sz w:val="32"/>
          <w:szCs w:val="32"/>
          <w:lang w:eastAsia="zh-CN"/>
          <w14:textFill>
            <w14:solidFill>
              <w14:schemeClr w14:val="tx1"/>
            </w14:solidFill>
          </w14:textFill>
        </w:rPr>
        <w:t>相关</w:t>
      </w:r>
      <w:r>
        <w:rPr>
          <w:rFonts w:hint="eastAsia" w:ascii="仿宋_GB2312" w:hAnsi="楷体_GB2312" w:eastAsia="仿宋_GB2312" w:cs="楷体_GB2312"/>
          <w:color w:val="000000" w:themeColor="text1"/>
          <w:sz w:val="32"/>
          <w:szCs w:val="32"/>
          <w14:textFill>
            <w14:solidFill>
              <w14:schemeClr w14:val="tx1"/>
            </w14:solidFill>
          </w14:textFill>
        </w:rPr>
        <w:t>商品销售收入、成本、利润率等关键营销指标。2</w:t>
      </w:r>
      <w:r>
        <w:rPr>
          <w:rFonts w:ascii="仿宋_GB2312" w:hAnsi="楷体_GB2312" w:eastAsia="仿宋_GB2312" w:cs="楷体_GB2312"/>
          <w:color w:val="000000" w:themeColor="text1"/>
          <w:sz w:val="32"/>
          <w:szCs w:val="32"/>
          <w14:textFill>
            <w14:solidFill>
              <w14:schemeClr w14:val="tx1"/>
            </w14:solidFill>
          </w14:textFill>
        </w:rPr>
        <w:t>0</w:t>
      </w:r>
      <w:r>
        <w:rPr>
          <w:rFonts w:hint="eastAsia" w:ascii="仿宋_GB2312" w:hAnsi="楷体_GB2312" w:eastAsia="仿宋_GB2312" w:cs="楷体_GB2312"/>
          <w:color w:val="000000" w:themeColor="text1"/>
          <w:sz w:val="32"/>
          <w:szCs w:val="32"/>
          <w14:textFill>
            <w14:solidFill>
              <w14:schemeClr w14:val="tx1"/>
            </w14:solidFill>
          </w14:textFill>
        </w:rPr>
        <w:t>19年8月至</w:t>
      </w:r>
      <w:r>
        <w:rPr>
          <w:rFonts w:hint="eastAsia" w:ascii="仿宋_GB2312" w:hAnsi="楷体_GB2312" w:eastAsia="仿宋_GB2312" w:cs="楷体_GB2312"/>
          <w:color w:val="000000" w:themeColor="text1"/>
          <w:sz w:val="32"/>
          <w:szCs w:val="32"/>
          <w:lang w:val="en-US" w:eastAsia="zh-CN"/>
          <w14:textFill>
            <w14:solidFill>
              <w14:schemeClr w14:val="tx1"/>
            </w14:solidFill>
          </w14:textFill>
        </w:rPr>
        <w:t>2020年4月</w:t>
      </w:r>
      <w:r>
        <w:rPr>
          <w:rFonts w:hint="eastAsia" w:ascii="仿宋_GB2312" w:hAnsi="楷体_GB2312" w:eastAsia="仿宋_GB2312" w:cs="楷体_GB2312"/>
          <w:color w:val="000000" w:themeColor="text1"/>
          <w:sz w:val="32"/>
          <w:szCs w:val="32"/>
          <w14:textFill>
            <w14:solidFill>
              <w14:schemeClr w14:val="tx1"/>
            </w14:solidFill>
          </w14:textFill>
        </w:rPr>
        <w:t>，当事人先后在其微信公众号“你的小蓝杯”、“</w:t>
      </w:r>
      <w:r>
        <w:rPr>
          <w:rFonts w:ascii="仿宋_GB2312" w:hAnsi="楷体_GB2312" w:eastAsia="仿宋_GB2312" w:cs="楷体_GB2312"/>
          <w:color w:val="000000" w:themeColor="text1"/>
          <w:sz w:val="32"/>
          <w:szCs w:val="32"/>
          <w14:textFill>
            <w14:solidFill>
              <w14:schemeClr w14:val="tx1"/>
            </w14:solidFill>
          </w14:textFill>
        </w:rPr>
        <w:t>luckincoffee</w:t>
      </w:r>
      <w:r>
        <w:rPr>
          <w:rFonts w:hint="eastAsia" w:ascii="仿宋_GB2312" w:hAnsi="楷体_GB2312" w:eastAsia="仿宋_GB2312" w:cs="楷体_GB2312"/>
          <w:color w:val="000000" w:themeColor="text1"/>
          <w:sz w:val="32"/>
          <w:szCs w:val="32"/>
          <w14:textFill>
            <w14:solidFill>
              <w14:schemeClr w14:val="tx1"/>
            </w14:solidFill>
          </w14:textFill>
        </w:rPr>
        <w:t>瑞幸咖啡”，官方微博“</w:t>
      </w:r>
      <w:r>
        <w:rPr>
          <w:rFonts w:ascii="仿宋_GB2312" w:hAnsi="楷体_GB2312" w:eastAsia="仿宋_GB2312" w:cs="楷体_GB2312"/>
          <w:color w:val="000000" w:themeColor="text1"/>
          <w:sz w:val="32"/>
          <w:szCs w:val="32"/>
          <w14:textFill>
            <w14:solidFill>
              <w14:schemeClr w14:val="tx1"/>
            </w14:solidFill>
          </w14:textFill>
        </w:rPr>
        <w:t>luckincoffee</w:t>
      </w:r>
      <w:r>
        <w:rPr>
          <w:rFonts w:hint="eastAsia" w:ascii="仿宋_GB2312" w:hAnsi="楷体_GB2312" w:eastAsia="仿宋_GB2312" w:cs="楷体_GB2312"/>
          <w:color w:val="000000" w:themeColor="text1"/>
          <w:sz w:val="32"/>
          <w:szCs w:val="32"/>
          <w14:textFill>
            <w14:solidFill>
              <w14:schemeClr w14:val="tx1"/>
            </w14:solidFill>
          </w14:textFill>
        </w:rPr>
        <w:t>”，瑞幸咖啡官网（地址:</w:t>
      </w:r>
      <w:r>
        <w:rPr>
          <w:rFonts w:ascii="仿宋_GB2312" w:hAnsi="楷体_GB2312" w:eastAsia="仿宋_GB2312" w:cs="楷体_GB2312"/>
          <w:color w:val="000000" w:themeColor="text1"/>
          <w:sz w:val="32"/>
          <w:szCs w:val="32"/>
          <w:u w:val="none"/>
          <w14:textFill>
            <w14:solidFill>
              <w14:schemeClr w14:val="tx1"/>
            </w14:solidFill>
          </w14:textFill>
        </w:rPr>
        <w:t>http://www.luckincoffee.com</w:t>
      </w:r>
      <w:r>
        <w:rPr>
          <w:rFonts w:hint="eastAsia" w:ascii="仿宋_GB2312" w:hAnsi="楷体_GB2312" w:eastAsia="仿宋_GB2312" w:cs="楷体_GB2312"/>
          <w:color w:val="000000" w:themeColor="text1"/>
          <w:sz w:val="32"/>
          <w:szCs w:val="32"/>
          <w14:textFill>
            <w14:solidFill>
              <w14:schemeClr w14:val="tx1"/>
            </w14:solidFill>
          </w14:textFill>
        </w:rPr>
        <w:t>），面向大众广泛宣传使用上述虚假营销数据。</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sz w:val="32"/>
          <w:szCs w:val="32"/>
        </w:rPr>
        <w:t>经统计，2019年4月至12月，当事人及瑞幸中国公司在多家第三方公司帮助下，采用“个人及企业刷单造假”、“API企业客户交易造假”，虚增收入，通过开展虚假交易、伪造银行流水、建立虚假数据库、伪造卡券消费记录等手段，累计制作虚假咖啡卡券订单1.23亿单。同时，当事人及瑞幸中国公司与多家第三方公司开展虚假交易，通过虚构原材料采购、外卖配送业务，虚增劳务外包</w:t>
      </w:r>
      <w:r>
        <w:rPr>
          <w:rFonts w:hint="eastAsia" w:ascii="仿宋_GB2312" w:hAnsi="楷体_GB2312" w:eastAsia="仿宋_GB2312" w:cs="楷体_GB2312"/>
          <w:sz w:val="32"/>
          <w:szCs w:val="32"/>
          <w:lang w:eastAsia="zh-CN"/>
        </w:rPr>
        <w:t>业务</w:t>
      </w:r>
      <w:r>
        <w:rPr>
          <w:rFonts w:hint="eastAsia" w:ascii="仿宋_GB2312" w:hAnsi="楷体_GB2312" w:eastAsia="仿宋_GB2312" w:cs="楷体_GB2312"/>
          <w:sz w:val="32"/>
          <w:szCs w:val="32"/>
        </w:rPr>
        <w:t>、虚构广告业</w:t>
      </w:r>
      <w:r>
        <w:rPr>
          <w:rFonts w:hint="eastAsia" w:ascii="仿宋_GB2312" w:hAnsi="楷体_GB2312" w:eastAsia="仿宋_GB2312" w:cs="楷体_GB2312"/>
          <w:color w:val="000000" w:themeColor="text1"/>
          <w:sz w:val="32"/>
          <w:szCs w:val="32"/>
          <w14:textFill>
            <w14:solidFill>
              <w14:schemeClr w14:val="tx1"/>
            </w14:solidFill>
          </w14:textFill>
        </w:rPr>
        <w:t>务等方式虚增成本支出，平衡业绩利润数据。通过资金不断循环，实现营业收入大幅虚增，最终形成极具吸引力的虚假业绩，欺骗、误导消费者以及相关公众。</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上述事实，有相关现场笔录、询问笔录、审计报告，当事人及相关公司提供的营业执照复印件、宣传材料、新闻发言稿、销售协议、往来邮件记录、OA审批材料、银行交易流水、财务报告、相关电子数据等证据予以证明。</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2020年</w:t>
      </w:r>
      <w:r>
        <w:rPr>
          <w:rFonts w:hint="eastAsia" w:ascii="仿宋_GB2312" w:hAnsi="Times New Roman" w:eastAsia="仿宋_GB2312" w:cs="仿宋"/>
          <w:color w:val="000000" w:themeColor="text1"/>
          <w:sz w:val="32"/>
          <w:szCs w:val="32"/>
          <w:lang w:val="en-US" w:eastAsia="zh-CN"/>
          <w14:textFill>
            <w14:solidFill>
              <w14:schemeClr w14:val="tx1"/>
            </w14:solidFill>
          </w14:textFill>
        </w:rPr>
        <w:t>9</w:t>
      </w:r>
      <w:r>
        <w:rPr>
          <w:rFonts w:hint="eastAsia" w:ascii="仿宋_GB2312" w:hAnsi="Times New Roman" w:eastAsia="仿宋_GB2312" w:cs="仿宋"/>
          <w:color w:val="000000" w:themeColor="text1"/>
          <w:sz w:val="32"/>
          <w:szCs w:val="32"/>
          <w14:textFill>
            <w14:solidFill>
              <w14:schemeClr w14:val="tx1"/>
            </w14:solidFill>
          </w14:textFill>
        </w:rPr>
        <w:t>月</w:t>
      </w:r>
      <w:r>
        <w:rPr>
          <w:rFonts w:hint="eastAsia" w:ascii="仿宋_GB2312" w:hAnsi="Times New Roman" w:eastAsia="仿宋_GB2312" w:cs="仿宋"/>
          <w:color w:val="000000" w:themeColor="text1"/>
          <w:sz w:val="32"/>
          <w:szCs w:val="32"/>
          <w:lang w:val="en-US" w:eastAsia="zh-CN"/>
          <w14:textFill>
            <w14:solidFill>
              <w14:schemeClr w14:val="tx1"/>
            </w14:solidFill>
          </w14:textFill>
        </w:rPr>
        <w:t>9</w:t>
      </w:r>
      <w:r>
        <w:rPr>
          <w:rFonts w:hint="eastAsia" w:ascii="仿宋_GB2312" w:hAnsi="Times New Roman" w:eastAsia="仿宋_GB2312" w:cs="仿宋"/>
          <w:color w:val="000000" w:themeColor="text1"/>
          <w:sz w:val="32"/>
          <w:szCs w:val="32"/>
          <w14:textFill>
            <w14:solidFill>
              <w14:schemeClr w14:val="tx1"/>
            </w14:solidFill>
          </w14:textFill>
        </w:rPr>
        <w:t>日，本局向当事人送达了《行政处罚听证告知书》，告知了拟作出行政处罚的事实、理由、依据及处罚内容，并告知了当事人自收到该告知书之日起三个工作日内，有陈述、申辩，并要求举行听证的权利。当事人在收到上述《行政处罚听证告知书》之日起的三个工作日内，未向本局提出陈述、申辩和举行听证要求。</w:t>
      </w:r>
    </w:p>
    <w:p>
      <w:pPr>
        <w:keepNext w:val="0"/>
        <w:keepLines w:val="0"/>
        <w:pageBreakBefore w:val="0"/>
        <w:widowControl w:val="0"/>
        <w:kinsoku/>
        <w:topLinePunct w:val="0"/>
        <w:autoSpaceDE/>
        <w:autoSpaceDN/>
        <w:bidi w:val="0"/>
        <w:adjustRightInd/>
        <w:spacing w:after="120" w:line="600" w:lineRule="exact"/>
        <w:ind w:firstLine="640" w:firstLineChars="200"/>
        <w:jc w:val="both"/>
        <w:textAlignment w:val="auto"/>
        <w:outlineLvl w:val="9"/>
        <w:rPr>
          <w:rFonts w:ascii="仿宋_GB2312" w:hAnsi="Times New Roman" w:eastAsia="仿宋_GB2312" w:cs="仿宋"/>
          <w:color w:val="000000" w:themeColor="text1"/>
          <w:sz w:val="32"/>
          <w:szCs w:val="32"/>
          <w14:textFill>
            <w14:solidFill>
              <w14:schemeClr w14:val="tx1"/>
            </w14:solidFill>
          </w14:textFill>
        </w:rPr>
      </w:pPr>
      <w:r>
        <w:rPr>
          <w:rFonts w:hint="eastAsia" w:eastAsia="仿宋_GB2312" w:cs="仿宋_GB2312"/>
          <w:sz w:val="32"/>
          <w:szCs w:val="32"/>
          <w:lang w:eastAsia="zh-CN"/>
        </w:rPr>
        <w:t>本局</w:t>
      </w:r>
      <w:r>
        <w:rPr>
          <w:rFonts w:hint="eastAsia" w:ascii="仿宋_GB2312" w:hAnsi="仿宋_GB2312" w:eastAsia="仿宋_GB2312" w:cs="仿宋_GB2312"/>
          <w:bCs/>
          <w:color w:val="000000" w:themeColor="text1"/>
          <w:sz w:val="32"/>
          <w:szCs w:val="32"/>
          <w14:textFill>
            <w14:solidFill>
              <w14:schemeClr w14:val="tx1"/>
            </w14:solidFill>
          </w14:textFill>
        </w:rPr>
        <w:t>认为，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当事人上述行为</w:t>
      </w:r>
      <w:r>
        <w:rPr>
          <w:rFonts w:hint="eastAsia" w:ascii="仿宋_GB2312" w:hAnsi="宋体" w:eastAsia="仿宋_GB2312"/>
          <w:color w:val="000000" w:themeColor="text1"/>
          <w:sz w:val="32"/>
          <w:szCs w:val="32"/>
          <w14:textFill>
            <w14:solidFill>
              <w14:schemeClr w14:val="tx1"/>
            </w14:solidFill>
          </w14:textFill>
        </w:rPr>
        <w:t>违反了《中华人民共和国反不正当竞争法》</w:t>
      </w:r>
      <w:r>
        <w:rPr>
          <w:rFonts w:hint="eastAsia" w:ascii="仿宋_GB2312" w:hAnsi="Times New Roman" w:eastAsia="仿宋_GB2312" w:cs="仿宋"/>
          <w:color w:val="000000" w:themeColor="text1"/>
          <w:sz w:val="32"/>
          <w:szCs w:val="32"/>
          <w14:textFill>
            <w14:solidFill>
              <w14:schemeClr w14:val="tx1"/>
            </w14:solidFill>
          </w14:textFill>
        </w:rPr>
        <w:t>第八条第一款“经营者不得对其商品的性能、功能、质量、销售状况、用户评价、曾获荣誉等作虚假或者引人误解的商业宣传，欺骗、误导消费者”</w:t>
      </w:r>
      <w:r>
        <w:rPr>
          <w:rFonts w:hint="eastAsia" w:ascii="仿宋_GB2312" w:hAnsi="Times New Roman" w:eastAsia="仿宋_GB2312" w:cs="仿宋"/>
          <w:color w:val="000000" w:themeColor="text1"/>
          <w:sz w:val="32"/>
          <w:szCs w:val="32"/>
          <w:lang w:eastAsia="zh-CN"/>
          <w14:textFill>
            <w14:solidFill>
              <w14:schemeClr w14:val="tx1"/>
            </w14:solidFill>
          </w14:textFill>
        </w:rPr>
        <w:t>的</w:t>
      </w:r>
      <w:r>
        <w:rPr>
          <w:rFonts w:hint="eastAsia" w:ascii="仿宋_GB2312" w:hAnsi="Times New Roman" w:eastAsia="仿宋_GB2312" w:cs="仿宋"/>
          <w:color w:val="000000" w:themeColor="text1"/>
          <w:sz w:val="32"/>
          <w:szCs w:val="32"/>
          <w14:textFill>
            <w14:solidFill>
              <w14:schemeClr w14:val="tx1"/>
            </w14:solidFill>
          </w14:textFill>
        </w:rPr>
        <w:t>规定，</w:t>
      </w:r>
      <w:r>
        <w:rPr>
          <w:rFonts w:hint="eastAsia" w:ascii="仿宋_GB2312" w:hAnsi="宋体" w:eastAsia="仿宋_GB2312"/>
          <w:color w:val="000000" w:themeColor="text1"/>
          <w:sz w:val="32"/>
          <w:szCs w:val="32"/>
          <w14:textFill>
            <w14:solidFill>
              <w14:schemeClr w14:val="tx1"/>
            </w14:solidFill>
          </w14:textFill>
        </w:rPr>
        <w:t>构成虚假宣传行为。</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hint="eastAsia"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鉴于当事人上述虚假宣传内容</w:t>
      </w:r>
      <w:r>
        <w:rPr>
          <w:rFonts w:hint="eastAsia" w:ascii="仿宋_GB2312" w:hAnsi="Times New Roman" w:eastAsia="仿宋_GB2312" w:cs="仿宋"/>
          <w:color w:val="000000" w:themeColor="text1"/>
          <w:sz w:val="32"/>
          <w:szCs w:val="32"/>
          <w:lang w:eastAsia="zh-CN"/>
          <w14:textFill>
            <w14:solidFill>
              <w14:schemeClr w14:val="tx1"/>
            </w14:solidFill>
          </w14:textFill>
        </w:rPr>
        <w:t>与事实相差较大</w:t>
      </w:r>
      <w:r>
        <w:rPr>
          <w:rFonts w:hint="eastAsia" w:ascii="仿宋_GB2312" w:hAnsi="Times New Roman" w:eastAsia="仿宋_GB2312" w:cs="仿宋"/>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lang w:eastAsia="zh-CN"/>
          <w14:textFill>
            <w14:solidFill>
              <w14:schemeClr w14:val="tx1"/>
            </w14:solidFill>
          </w14:textFill>
        </w:rPr>
        <w:t>社会</w:t>
      </w:r>
      <w:r>
        <w:rPr>
          <w:rFonts w:hint="eastAsia" w:ascii="仿宋_GB2312" w:hAnsi="Times New Roman" w:eastAsia="仿宋_GB2312" w:cs="仿宋"/>
          <w:color w:val="000000" w:themeColor="text1"/>
          <w:sz w:val="32"/>
          <w:szCs w:val="32"/>
          <w14:textFill>
            <w14:solidFill>
              <w14:schemeClr w14:val="tx1"/>
            </w14:solidFill>
          </w14:textFill>
        </w:rPr>
        <w:t>影响恶劣，</w:t>
      </w:r>
      <w:r>
        <w:rPr>
          <w:rFonts w:hint="eastAsia" w:ascii="仿宋_GB2312" w:hAnsi="Times New Roman" w:eastAsia="仿宋_GB2312" w:cs="仿宋"/>
          <w:color w:val="000000" w:themeColor="text1"/>
          <w:sz w:val="32"/>
          <w:szCs w:val="32"/>
          <w:lang w:eastAsia="zh-CN"/>
          <w14:textFill>
            <w14:solidFill>
              <w14:schemeClr w14:val="tx1"/>
            </w14:solidFill>
          </w14:textFill>
        </w:rPr>
        <w:t>严重扰乱了市场竞争秩序，</w:t>
      </w:r>
      <w:r>
        <w:rPr>
          <w:rFonts w:hint="eastAsia" w:ascii="仿宋_GB2312" w:hAnsi="Times New Roman" w:eastAsia="仿宋_GB2312" w:cs="仿宋"/>
          <w:color w:val="000000" w:themeColor="text1"/>
          <w:sz w:val="32"/>
          <w:szCs w:val="32"/>
          <w14:textFill>
            <w14:solidFill>
              <w14:schemeClr w14:val="tx1"/>
            </w14:solidFill>
          </w14:textFill>
        </w:rPr>
        <w:t>根据《中华人民共和国反不正当竞争法》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Times New Roman" w:eastAsia="仿宋_GB2312" w:cs="仿宋"/>
          <w:color w:val="000000" w:themeColor="text1"/>
          <w:sz w:val="32"/>
          <w:szCs w:val="32"/>
          <w:lang w:eastAsia="zh-CN"/>
          <w14:textFill>
            <w14:solidFill>
              <w14:schemeClr w14:val="tx1"/>
            </w14:solidFill>
          </w14:textFill>
        </w:rPr>
        <w:t>的</w:t>
      </w:r>
      <w:r>
        <w:rPr>
          <w:rFonts w:hint="eastAsia" w:ascii="仿宋_GB2312" w:hAnsi="Times New Roman" w:eastAsia="仿宋_GB2312" w:cs="仿宋"/>
          <w:color w:val="000000" w:themeColor="text1"/>
          <w:sz w:val="32"/>
          <w:szCs w:val="32"/>
          <w14:textFill>
            <w14:solidFill>
              <w14:schemeClr w14:val="tx1"/>
            </w14:solidFill>
          </w14:textFill>
        </w:rPr>
        <w:t>规定，</w:t>
      </w:r>
      <w:r>
        <w:rPr>
          <w:rFonts w:hint="eastAsia" w:ascii="仿宋_GB2312" w:hAnsi="Times New Roman" w:eastAsia="仿宋_GB2312" w:cs="仿宋"/>
          <w:color w:val="000000" w:themeColor="text1"/>
          <w:sz w:val="32"/>
          <w:szCs w:val="32"/>
          <w:lang w:eastAsia="zh-CN"/>
          <w14:textFill>
            <w14:solidFill>
              <w14:schemeClr w14:val="tx1"/>
            </w14:solidFill>
          </w14:textFill>
        </w:rPr>
        <w:t>责令当事人停止违法行为，并决定</w:t>
      </w:r>
      <w:r>
        <w:rPr>
          <w:rFonts w:hint="eastAsia" w:ascii="仿宋_GB2312" w:hAnsi="Times New Roman" w:eastAsia="仿宋_GB2312" w:cs="仿宋"/>
          <w:color w:val="000000" w:themeColor="text1"/>
          <w:sz w:val="32"/>
          <w:szCs w:val="32"/>
          <w14:textFill>
            <w14:solidFill>
              <w14:schemeClr w14:val="tx1"/>
            </w14:solidFill>
          </w14:textFill>
        </w:rPr>
        <w:t>对当事人作出行政处罚如下：</w:t>
      </w:r>
    </w:p>
    <w:p>
      <w:pPr>
        <w:keepNext w:val="0"/>
        <w:keepLines w:val="0"/>
        <w:pageBreakBefore w:val="0"/>
        <w:widowControl w:val="0"/>
        <w:kinsoku/>
        <w:topLinePunct w:val="0"/>
        <w:autoSpaceDE/>
        <w:autoSpaceDN/>
        <w:bidi w:val="0"/>
        <w:adjustRightInd/>
        <w:spacing w:line="600" w:lineRule="exact"/>
        <w:ind w:firstLine="640" w:firstLineChars="200"/>
        <w:jc w:val="both"/>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罚款人民币贰</w:t>
      </w:r>
      <w:r>
        <w:rPr>
          <w:rFonts w:hint="eastAsia" w:ascii="仿宋_GB2312" w:hAnsi="Times New Roman" w:eastAsia="仿宋_GB2312" w:cs="仿宋"/>
          <w:color w:val="000000" w:themeColor="text1"/>
          <w:sz w:val="32"/>
          <w:szCs w:val="32"/>
          <w:lang w:eastAsia="zh-CN"/>
          <w14:textFill>
            <w14:solidFill>
              <w14:schemeClr w14:val="tx1"/>
            </w14:solidFill>
          </w14:textFill>
        </w:rPr>
        <w:t>佰</w:t>
      </w:r>
      <w:r>
        <w:rPr>
          <w:rFonts w:hint="eastAsia" w:ascii="仿宋_GB2312" w:hAnsi="Times New Roman" w:eastAsia="仿宋_GB2312" w:cs="仿宋"/>
          <w:color w:val="000000" w:themeColor="text1"/>
          <w:sz w:val="32"/>
          <w:szCs w:val="32"/>
          <w14:textFill>
            <w14:solidFill>
              <w14:schemeClr w14:val="tx1"/>
            </w14:solidFill>
          </w14:textFill>
        </w:rPr>
        <w:t>万圆整。</w:t>
      </w:r>
    </w:p>
    <w:p>
      <w:pPr>
        <w:keepNext w:val="0"/>
        <w:keepLines w:val="0"/>
        <w:pageBreakBefore w:val="0"/>
        <w:widowControl w:val="0"/>
        <w:kinsoku/>
        <w:overflowPunct w:val="0"/>
        <w:topLinePunct w:val="0"/>
        <w:autoSpaceDE/>
        <w:autoSpaceDN/>
        <w:bidi w:val="0"/>
        <w:adjustRightInd/>
        <w:spacing w:line="600" w:lineRule="exact"/>
        <w:ind w:firstLine="640" w:firstLineChars="200"/>
        <w:jc w:val="both"/>
        <w:textAlignment w:val="auto"/>
        <w:outlineLvl w:val="9"/>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依据</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中华人民共和国</w:t>
      </w:r>
      <w:r>
        <w:rPr>
          <w:rFonts w:ascii="Times New Roman" w:hAnsi="Times New Roman" w:eastAsia="仿宋_GB2312"/>
          <w:color w:val="000000" w:themeColor="text1"/>
          <w:sz w:val="32"/>
          <w:szCs w:val="32"/>
          <w14:textFill>
            <w14:solidFill>
              <w14:schemeClr w14:val="tx1"/>
            </w14:solidFill>
          </w14:textFill>
        </w:rPr>
        <w:t>行政处罚法》第四十六条规定，</w:t>
      </w:r>
      <w:r>
        <w:rPr>
          <w:rFonts w:hint="eastAsia" w:ascii="Times New Roman" w:hAnsi="Times New Roman" w:eastAsia="仿宋_GB2312"/>
          <w:color w:val="000000" w:themeColor="text1"/>
          <w:sz w:val="32"/>
          <w:szCs w:val="32"/>
          <w14:textFill>
            <w14:solidFill>
              <w14:schemeClr w14:val="tx1"/>
            </w14:solidFill>
          </w14:textFill>
        </w:rPr>
        <w:t>当事人</w:t>
      </w:r>
      <w:r>
        <w:rPr>
          <w:rFonts w:ascii="Times New Roman" w:hAnsi="Times New Roman" w:eastAsia="仿宋_GB2312"/>
          <w:color w:val="000000" w:themeColor="text1"/>
          <w:sz w:val="32"/>
          <w:szCs w:val="32"/>
          <w14:textFill>
            <w14:solidFill>
              <w14:schemeClr w14:val="tx1"/>
            </w14:solidFill>
          </w14:textFill>
        </w:rPr>
        <w:t>应当自收到本行政处罚决定书之日起十五日内，根据本行政处罚决定书，携缴款码到12家中央财政非税收入收缴代理银行（工、农、中、建、交、中信、光大、招商、邮储、华夏、平安、兴业）任一银行网点或者网上银行</w:t>
      </w:r>
      <w:r>
        <w:rPr>
          <w:rFonts w:hint="eastAsia" w:ascii="仿宋_GB2312" w:eastAsia="仿宋_GB2312"/>
          <w:color w:val="000000" w:themeColor="text1"/>
          <w:sz w:val="32"/>
          <w:szCs w:val="32"/>
          <w14:textFill>
            <w14:solidFill>
              <w14:schemeClr w14:val="tx1"/>
            </w14:solidFill>
          </w14:textFill>
        </w:rPr>
        <w:t>交纳</w:t>
      </w:r>
      <w:r>
        <w:rPr>
          <w:rFonts w:ascii="Times New Roman" w:hAnsi="Times New Roman" w:eastAsia="仿宋_GB2312"/>
          <w:color w:val="000000" w:themeColor="text1"/>
          <w:sz w:val="32"/>
          <w:szCs w:val="32"/>
          <w14:textFill>
            <w14:solidFill>
              <w14:schemeClr w14:val="tx1"/>
            </w14:solidFill>
          </w14:textFill>
        </w:rPr>
        <w:t>罚款。</w:t>
      </w:r>
      <w:r>
        <w:rPr>
          <w:rFonts w:hint="eastAsia" w:ascii="Times New Roman" w:hAnsi="Times New Roman" w:eastAsia="仿宋_GB2312"/>
          <w:color w:val="000000" w:themeColor="text1"/>
          <w:sz w:val="32"/>
          <w:szCs w:val="32"/>
          <w14:textFill>
            <w14:solidFill>
              <w14:schemeClr w14:val="tx1"/>
            </w14:solidFill>
          </w14:textFill>
        </w:rPr>
        <w:t>缴款码：</w:t>
      </w:r>
      <w:r>
        <w:rPr>
          <w:rFonts w:hint="eastAsia" w:ascii="Times New Roman" w:hAnsi="Times New Roman" w:eastAsia="仿宋_GB2312"/>
          <w:color w:val="000000" w:themeColor="text1"/>
          <w:sz w:val="32"/>
          <w:szCs w:val="32"/>
          <w:lang w:eastAsia="zh-CN"/>
          <w14:textFill>
            <w14:solidFill>
              <w14:schemeClr w14:val="tx1"/>
            </w14:solidFill>
          </w14:textFill>
        </w:rPr>
        <w:t>略</w:t>
      </w:r>
      <w:r>
        <w:rPr>
          <w:rFonts w:hint="eastAsia"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overflowPunct w:val="0"/>
        <w:topLinePunct w:val="0"/>
        <w:autoSpaceDE/>
        <w:autoSpaceDN/>
        <w:bidi w:val="0"/>
        <w:adjustRightInd/>
        <w:spacing w:line="600" w:lineRule="exact"/>
        <w:ind w:firstLine="640" w:firstLineChars="200"/>
        <w:jc w:val="both"/>
        <w:textAlignment w:val="auto"/>
        <w:outlineLvl w:val="9"/>
        <w:rPr>
          <w:rFonts w:ascii="仿宋_GB2312"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w:t>
      </w:r>
      <w:r>
        <w:rPr>
          <w:rFonts w:hint="eastAsia" w:ascii="Times New Roman" w:hAnsi="Times New Roman" w:eastAsia="仿宋_GB2312"/>
          <w:color w:val="000000" w:themeColor="text1"/>
          <w:sz w:val="32"/>
          <w:szCs w:val="32"/>
          <w14:textFill>
            <w14:solidFill>
              <w14:schemeClr w14:val="tx1"/>
            </w14:solidFill>
          </w14:textFill>
        </w:rPr>
        <w:t>中华人民共和国</w:t>
      </w:r>
      <w:r>
        <w:rPr>
          <w:rFonts w:ascii="Times New Roman" w:hAnsi="Times New Roman" w:eastAsia="仿宋_GB2312"/>
          <w:color w:val="000000" w:themeColor="text1"/>
          <w:sz w:val="32"/>
          <w:szCs w:val="32"/>
          <w14:textFill>
            <w14:solidFill>
              <w14:schemeClr w14:val="tx1"/>
            </w14:solidFill>
          </w14:textFill>
        </w:rPr>
        <w:t>行政处罚法》</w:t>
      </w:r>
      <w:r>
        <w:rPr>
          <w:rFonts w:hint="eastAsia" w:ascii="仿宋_GB2312" w:eastAsia="仿宋_GB2312"/>
          <w:color w:val="000000" w:themeColor="text1"/>
          <w:sz w:val="32"/>
          <w:szCs w:val="32"/>
          <w14:textFill>
            <w14:solidFill>
              <w14:schemeClr w14:val="tx1"/>
            </w14:solidFill>
          </w14:textFill>
        </w:rPr>
        <w:t>第五十一条规定，当事人逾期不履行行政处罚决定的，本机关可以采取以下措施：（一）到期不缴纳罚款的，每日按罚款数额的百分之三加处罚款；（二）申请人民法院强制执行。</w:t>
      </w:r>
    </w:p>
    <w:p>
      <w:pPr>
        <w:keepNext w:val="0"/>
        <w:keepLines w:val="0"/>
        <w:pageBreakBefore w:val="0"/>
        <w:widowControl w:val="0"/>
        <w:kinsoku/>
        <w:overflowPunct w:val="0"/>
        <w:topLinePunct w:val="0"/>
        <w:autoSpaceDE/>
        <w:autoSpaceDN/>
        <w:bidi w:val="0"/>
        <w:adjustRightInd/>
        <w:spacing w:line="600" w:lineRule="exact"/>
        <w:ind w:firstLine="640" w:firstLineChars="200"/>
        <w:jc w:val="both"/>
        <w:textAlignment w:val="auto"/>
        <w:outlineLvl w:val="9"/>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当事人</w:t>
      </w:r>
      <w:r>
        <w:rPr>
          <w:rFonts w:ascii="Times New Roman" w:hAnsi="Times New Roman" w:eastAsia="仿宋_GB2312"/>
          <w:color w:val="000000" w:themeColor="text1"/>
          <w:sz w:val="32"/>
          <w:szCs w:val="32"/>
          <w14:textFill>
            <w14:solidFill>
              <w14:schemeClr w14:val="tx1"/>
            </w14:solidFill>
          </w14:textFill>
        </w:rPr>
        <w:t>如对上述行政处罚决定不服，可以自收到本行政处罚决定书之日起六十日内，向国家市场监督管理总局申请行政复议；或者自收到本行政处罚决定书之日起六个月内，依法向</w:t>
      </w:r>
      <w:r>
        <w:rPr>
          <w:rFonts w:hint="eastAsia" w:ascii="仿宋_GB2312" w:hAnsi="宋体" w:eastAsia="仿宋_GB2312"/>
          <w:sz w:val="32"/>
          <w:szCs w:val="32"/>
          <w:lang w:eastAsia="zh-CN"/>
        </w:rPr>
        <w:t>北京市第一中级</w:t>
      </w:r>
      <w:r>
        <w:rPr>
          <w:rFonts w:hint="eastAsia" w:ascii="仿宋_GB2312" w:hAnsi="宋体" w:eastAsia="仿宋_GB2312"/>
          <w:sz w:val="32"/>
          <w:szCs w:val="32"/>
        </w:rPr>
        <w:t>人民法院</w:t>
      </w:r>
      <w:r>
        <w:rPr>
          <w:rFonts w:ascii="Times New Roman" w:hAnsi="Times New Roman" w:eastAsia="仿宋_GB2312"/>
          <w:color w:val="000000" w:themeColor="text1"/>
          <w:sz w:val="32"/>
          <w:szCs w:val="32"/>
          <w14:textFill>
            <w14:solidFill>
              <w14:schemeClr w14:val="tx1"/>
            </w14:solidFill>
          </w14:textFill>
        </w:rPr>
        <w:t>提起行政诉讼。行政复议或者行政诉讼期间，本行政处罚决定不停止执行。</w:t>
      </w:r>
    </w:p>
    <w:p>
      <w:pPr>
        <w:keepNext w:val="0"/>
        <w:keepLines w:val="0"/>
        <w:pageBreakBefore w:val="0"/>
        <w:widowControl w:val="0"/>
        <w:kinsoku/>
        <w:topLinePunct w:val="0"/>
        <w:autoSpaceDE/>
        <w:autoSpaceDN/>
        <w:bidi w:val="0"/>
        <w:adjustRightInd/>
        <w:spacing w:line="600" w:lineRule="exact"/>
        <w:jc w:val="left"/>
        <w:textAlignment w:val="auto"/>
        <w:outlineLvl w:val="9"/>
        <w:rPr>
          <w:rFonts w:ascii="仿宋_GB2312"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adjustRightInd/>
        <w:spacing w:line="600" w:lineRule="exact"/>
        <w:jc w:val="left"/>
        <w:textAlignment w:val="auto"/>
        <w:outlineLvl w:val="9"/>
        <w:rPr>
          <w:rFonts w:ascii="仿宋_GB2312"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adjustRightInd/>
        <w:spacing w:line="600" w:lineRule="exact"/>
        <w:ind w:firstLine="601"/>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 xml:space="preserve">               国家市场监督管理总局</w:t>
      </w:r>
    </w:p>
    <w:p>
      <w:pPr>
        <w:keepNext w:val="0"/>
        <w:keepLines w:val="0"/>
        <w:pageBreakBefore w:val="0"/>
        <w:widowControl w:val="0"/>
        <w:kinsoku/>
        <w:topLinePunct w:val="0"/>
        <w:autoSpaceDE/>
        <w:autoSpaceDN/>
        <w:bidi w:val="0"/>
        <w:adjustRightInd/>
        <w:spacing w:line="600" w:lineRule="exact"/>
        <w:ind w:right="640" w:firstLine="600"/>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 xml:space="preserve">               </w:t>
      </w:r>
      <w:r>
        <w:rPr>
          <w:rFonts w:hint="eastAsia" w:ascii="Times New Roman" w:hAnsi="Times New Roman"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
          <w:color w:val="000000"/>
          <w:sz w:val="32"/>
          <w:szCs w:val="32"/>
          <w:lang w:val="en-US" w:eastAsia="zh-CN"/>
        </w:rPr>
        <w:t>2020</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9</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18</w:t>
      </w:r>
      <w:r>
        <w:rPr>
          <w:rFonts w:hint="eastAsia" w:ascii="Times New Roman" w:hAnsi="Times New Roman" w:eastAsia="仿宋_GB2312" w:cs="仿宋"/>
          <w:color w:val="000000"/>
          <w:sz w:val="32"/>
          <w:szCs w:val="32"/>
        </w:rPr>
        <w:t>日</w:t>
      </w:r>
    </w:p>
    <w:p>
      <w:pPr>
        <w:keepNext w:val="0"/>
        <w:keepLines w:val="0"/>
        <w:pageBreakBefore w:val="0"/>
        <w:widowControl w:val="0"/>
        <w:kinsoku/>
        <w:wordWrap w:val="0"/>
        <w:topLinePunct w:val="0"/>
        <w:autoSpaceDE/>
        <w:autoSpaceDN/>
        <w:bidi w:val="0"/>
        <w:adjustRightInd/>
        <w:spacing w:line="600" w:lineRule="exact"/>
        <w:textAlignment w:val="auto"/>
        <w:outlineLvl w:val="9"/>
        <w:rPr>
          <w:rFonts w:ascii="Times New Roman" w:hAnsi="Times New Roman" w:cs="宋体"/>
          <w:color w:val="000000"/>
          <w:sz w:val="44"/>
          <w:szCs w:val="44"/>
        </w:rPr>
      </w:pPr>
      <w:bookmarkStart w:id="0" w:name="_GoBack"/>
      <w:bookmarkEnd w:id="0"/>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K5hOA/bAQAAmwMAAA4A&#10;AAAAAAAAAQAgAAAAJgEAAGRycy9lMm9Eb2MueG1sUEsFBgAAAAAGAAYAWQEAAHMFA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roma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AF"/>
    <w:rsid w:val="000D5915"/>
    <w:rsid w:val="001057F3"/>
    <w:rsid w:val="00172571"/>
    <w:rsid w:val="001C6DE9"/>
    <w:rsid w:val="001D2696"/>
    <w:rsid w:val="00280629"/>
    <w:rsid w:val="002C300F"/>
    <w:rsid w:val="002E2578"/>
    <w:rsid w:val="003114F3"/>
    <w:rsid w:val="0033524D"/>
    <w:rsid w:val="00347366"/>
    <w:rsid w:val="00355749"/>
    <w:rsid w:val="003B1E81"/>
    <w:rsid w:val="003C6EF1"/>
    <w:rsid w:val="0043741B"/>
    <w:rsid w:val="00480252"/>
    <w:rsid w:val="004B4CE0"/>
    <w:rsid w:val="005041E5"/>
    <w:rsid w:val="00552DD9"/>
    <w:rsid w:val="0056429B"/>
    <w:rsid w:val="005E71E3"/>
    <w:rsid w:val="005F5FED"/>
    <w:rsid w:val="006175E3"/>
    <w:rsid w:val="0063786B"/>
    <w:rsid w:val="00645751"/>
    <w:rsid w:val="00681241"/>
    <w:rsid w:val="006875E2"/>
    <w:rsid w:val="00697DF9"/>
    <w:rsid w:val="006C5C2A"/>
    <w:rsid w:val="006F7C32"/>
    <w:rsid w:val="0071156A"/>
    <w:rsid w:val="00715114"/>
    <w:rsid w:val="007A55C3"/>
    <w:rsid w:val="007C7DC7"/>
    <w:rsid w:val="00804E78"/>
    <w:rsid w:val="008309DE"/>
    <w:rsid w:val="00853322"/>
    <w:rsid w:val="008E32B1"/>
    <w:rsid w:val="009C556A"/>
    <w:rsid w:val="009D4F55"/>
    <w:rsid w:val="009D686D"/>
    <w:rsid w:val="00A02C12"/>
    <w:rsid w:val="00A14BB0"/>
    <w:rsid w:val="00A15456"/>
    <w:rsid w:val="00A4468D"/>
    <w:rsid w:val="00A908FE"/>
    <w:rsid w:val="00A96D6C"/>
    <w:rsid w:val="00AA77F8"/>
    <w:rsid w:val="00AC3C08"/>
    <w:rsid w:val="00B02E8C"/>
    <w:rsid w:val="00B912DB"/>
    <w:rsid w:val="00BB26ED"/>
    <w:rsid w:val="00BC733F"/>
    <w:rsid w:val="00BF67A8"/>
    <w:rsid w:val="00C80EAE"/>
    <w:rsid w:val="00C84DDB"/>
    <w:rsid w:val="00CC12A6"/>
    <w:rsid w:val="00CE0DAF"/>
    <w:rsid w:val="00D04C3F"/>
    <w:rsid w:val="00D126FA"/>
    <w:rsid w:val="00D260C9"/>
    <w:rsid w:val="00D97820"/>
    <w:rsid w:val="00DC0EAF"/>
    <w:rsid w:val="00E07F44"/>
    <w:rsid w:val="00E74FD0"/>
    <w:rsid w:val="00E85553"/>
    <w:rsid w:val="00EC5EBE"/>
    <w:rsid w:val="00F1445D"/>
    <w:rsid w:val="00F22ADC"/>
    <w:rsid w:val="00F5771E"/>
    <w:rsid w:val="00F6267E"/>
    <w:rsid w:val="00F80CFD"/>
    <w:rsid w:val="00FA39DD"/>
    <w:rsid w:val="00FB66EE"/>
    <w:rsid w:val="00FC26B4"/>
    <w:rsid w:val="00FE1495"/>
    <w:rsid w:val="00FF3E2D"/>
    <w:rsid w:val="01575CAE"/>
    <w:rsid w:val="01D0509E"/>
    <w:rsid w:val="023B054E"/>
    <w:rsid w:val="039163DB"/>
    <w:rsid w:val="040E494D"/>
    <w:rsid w:val="04A955A3"/>
    <w:rsid w:val="05AF50D4"/>
    <w:rsid w:val="07D55942"/>
    <w:rsid w:val="0B337E43"/>
    <w:rsid w:val="0B4C2B3C"/>
    <w:rsid w:val="0BC40FBD"/>
    <w:rsid w:val="0F0A3C37"/>
    <w:rsid w:val="122F59D9"/>
    <w:rsid w:val="14106AAA"/>
    <w:rsid w:val="142E3CA9"/>
    <w:rsid w:val="155F5BA6"/>
    <w:rsid w:val="16153BAA"/>
    <w:rsid w:val="16570CE9"/>
    <w:rsid w:val="16FB2518"/>
    <w:rsid w:val="1E4D1112"/>
    <w:rsid w:val="1EC43A1F"/>
    <w:rsid w:val="1F523768"/>
    <w:rsid w:val="22172F82"/>
    <w:rsid w:val="25705CBC"/>
    <w:rsid w:val="25AB6C6B"/>
    <w:rsid w:val="2B5806C9"/>
    <w:rsid w:val="2E0570DD"/>
    <w:rsid w:val="3128275A"/>
    <w:rsid w:val="31C500C0"/>
    <w:rsid w:val="330F53DF"/>
    <w:rsid w:val="333B2B63"/>
    <w:rsid w:val="365E2071"/>
    <w:rsid w:val="375D7A8B"/>
    <w:rsid w:val="37A875B4"/>
    <w:rsid w:val="39392706"/>
    <w:rsid w:val="3AD76613"/>
    <w:rsid w:val="3C440CD8"/>
    <w:rsid w:val="41BE46B1"/>
    <w:rsid w:val="42045386"/>
    <w:rsid w:val="424D3740"/>
    <w:rsid w:val="42703443"/>
    <w:rsid w:val="44C72900"/>
    <w:rsid w:val="451949E5"/>
    <w:rsid w:val="46CF62F0"/>
    <w:rsid w:val="47476C6D"/>
    <w:rsid w:val="47D51550"/>
    <w:rsid w:val="483D0F55"/>
    <w:rsid w:val="4B5205FF"/>
    <w:rsid w:val="4C507FF6"/>
    <w:rsid w:val="4F0E0B61"/>
    <w:rsid w:val="4F716517"/>
    <w:rsid w:val="51582E4B"/>
    <w:rsid w:val="53DD458B"/>
    <w:rsid w:val="54205900"/>
    <w:rsid w:val="57914D1A"/>
    <w:rsid w:val="59741572"/>
    <w:rsid w:val="5BB92D1C"/>
    <w:rsid w:val="5BC94DAC"/>
    <w:rsid w:val="5EC830CB"/>
    <w:rsid w:val="604E5C71"/>
    <w:rsid w:val="60506ACB"/>
    <w:rsid w:val="648F6AC3"/>
    <w:rsid w:val="66FF4DC6"/>
    <w:rsid w:val="686D044D"/>
    <w:rsid w:val="6972771A"/>
    <w:rsid w:val="69F810A5"/>
    <w:rsid w:val="6ABC389F"/>
    <w:rsid w:val="6B8A2329"/>
    <w:rsid w:val="6C5336E5"/>
    <w:rsid w:val="6C96009F"/>
    <w:rsid w:val="6DAB6A6C"/>
    <w:rsid w:val="6E503165"/>
    <w:rsid w:val="710458D6"/>
    <w:rsid w:val="72311D95"/>
    <w:rsid w:val="72365EF4"/>
    <w:rsid w:val="728B482D"/>
    <w:rsid w:val="746E18B2"/>
    <w:rsid w:val="778C57A1"/>
    <w:rsid w:val="78583940"/>
    <w:rsid w:val="7AC73DB2"/>
    <w:rsid w:val="7B581172"/>
    <w:rsid w:val="7C4F6B99"/>
    <w:rsid w:val="7EF2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355</Words>
  <Characters>2025</Characters>
  <Lines>16</Lines>
  <Paragraphs>4</Paragraphs>
  <TotalTime>0</TotalTime>
  <ScaleCrop>false</ScaleCrop>
  <LinksUpToDate>false</LinksUpToDate>
  <CharactersWithSpaces>2376</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2020-08-27T01:19:00Z</dcterms:created>
  <dc:creator>user</dc:creator>
  <cp:lastModifiedBy>NTKO</cp:lastModifiedBy>
  <cp:lastPrinted>2020-09-11T11:46:00Z</cp:lastPrinted>
  <dcterms:modified xsi:type="dcterms:W3CDTF">2020-09-28T08:16:49Z</dcterms:modified>
  <dc:title>国家市场监督管理总局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