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部分不合格项目的小知识</w:t>
      </w:r>
    </w:p>
    <w:p>
      <w:pPr>
        <w:spacing w:line="60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</w:p>
    <w:p>
      <w:pPr>
        <w:spacing w:line="600" w:lineRule="exact"/>
        <w:ind w:firstLine="592" w:firstLineChars="200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一、</w:t>
      </w:r>
      <w:r>
        <w:rPr>
          <w:rFonts w:hint="eastAsia" w:ascii="黑体" w:hAnsi="黑体" w:eastAsia="黑体"/>
          <w:spacing w:val="-12"/>
          <w:sz w:val="32"/>
          <w:szCs w:val="32"/>
        </w:rPr>
        <w:t>苯并［a］芘</w:t>
      </w:r>
    </w:p>
    <w:p>
      <w:pPr>
        <w:spacing w:line="600" w:lineRule="exact"/>
        <w:ind w:firstLine="640" w:firstLineChars="200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>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］芘是一种芳烃类化合物，在环境中广泛存在，具有一定致癌性、致畸性、致突变性。《食品安全国家标准食品中污染物限量》（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）中规定，油脂及其制品中苯并［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］芘最大限量值为</w:t>
      </w:r>
      <w:r>
        <w:rPr>
          <w:rFonts w:ascii="Times New Roman" w:hAnsi="Times New Roman" w:eastAsia="仿宋_GB2312"/>
          <w:sz w:val="32"/>
          <w:szCs w:val="32"/>
        </w:rPr>
        <w:t>10μg/kg</w:t>
      </w:r>
      <w:r>
        <w:rPr>
          <w:rFonts w:hint="eastAsia" w:ascii="Times New Roman" w:hAnsi="Times New Roman" w:eastAsia="仿宋_GB2312"/>
          <w:sz w:val="32"/>
          <w:szCs w:val="32"/>
        </w:rPr>
        <w:t>。食用植物油中苯并［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］芘超标的原因，可能是油料收储、晾晒不当，从环境、包装、机械收获、运输等过程中引入污染；生产中关键工艺控制不当等。</w:t>
      </w:r>
    </w:p>
    <w:p>
      <w:pPr>
        <w:spacing w:line="600" w:lineRule="exact"/>
        <w:ind w:firstLine="592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二、菌落总数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菌落总数是指示性微生物指标，并非致病菌指标。主要用来评价食品清洁度，反映食品在生产过程中是否符合卫生要求。《食品安全国家标准 藻类及其制品》（GB 19643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2016）中规定，即食藻类制品一个样品的5次检测结果均不得超过10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CFU/g且至少3次检测结果不超过3×10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CFU/g。菌落总数超标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的原因，可能是食品</w:t>
      </w:r>
      <w:r>
        <w:rPr>
          <w:rFonts w:ascii="Times New Roman" w:hAnsi="Times New Roman" w:eastAsia="仿宋_GB2312" w:cs="Times New Roman"/>
          <w:sz w:val="32"/>
          <w:szCs w:val="32"/>
        </w:rPr>
        <w:t>企业可能未按要求严格控制生产加工过程的卫生条件，或者包装容器清洗消毒不到位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还有可能与产品包装密封不严，储运条件控制不当等有关。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三、呋喃西林代谢物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呋喃西林是属于硝基呋喃类广谱抗生素，广泛应用于畜禽及水产养殖业。硝基呋喃类原型药在生物体内代谢迅速，和蛋白质结合而相当稳定，故常利用对其代谢物的检测来反应硝基呋喃类药物的残留状况。《兽药地方标准废止目录》（农业部公告第560号）中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呋喃西林为禁用兽药，在动物性食品中不得检出。硝基呋喃类药物及其代谢物可引起溶血性贫血、多发性神经炎、眼部损害和急性肝坏死等残疾而对人类健康造成危害，对人体有致癌、致畸胎副作用。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四、克百威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克百威是一种广谱、高效、低残留、高毒性的氨基甲酸酯类杀虫、杀螨、杀线虫剂，具有内吸、触杀、胃毒作用，并有一定的杀卵作用。《食品安全国家标准食品中农药最大残留限量》（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）中规定，克百威在豆类蔬菜中的最大残留限量为</w:t>
      </w:r>
      <w:r>
        <w:rPr>
          <w:rFonts w:ascii="Times New Roman" w:hAnsi="Times New Roman" w:eastAsia="仿宋_GB2312"/>
          <w:sz w:val="32"/>
          <w:szCs w:val="32"/>
        </w:rPr>
        <w:t>0.02mg/kg</w:t>
      </w:r>
      <w:r>
        <w:rPr>
          <w:rFonts w:hint="eastAsia" w:ascii="Times New Roman" w:hAnsi="Times New Roman" w:eastAsia="仿宋_GB2312"/>
          <w:sz w:val="32"/>
          <w:szCs w:val="32"/>
        </w:rPr>
        <w:t>。克百威不易降解，容易造成环境污染。少量的农药残留不会引起人体急性中毒，但长期食用农药残留超标的食品，对人体健康有一定影响。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五、丙溴磷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丙溴磷是一种具有触杀和胃毒作用，专用于杀灭刺吸式口器害虫的超高效有机磷杀虫剂。《食品安全国家标准食品中农药最大残留限量》（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）中规定，丙溴磷在柑橘中的最大残留限量为</w:t>
      </w:r>
      <w:r>
        <w:rPr>
          <w:rFonts w:ascii="Times New Roman" w:hAnsi="Times New Roman" w:eastAsia="仿宋_GB2312"/>
          <w:sz w:val="32"/>
          <w:szCs w:val="32"/>
        </w:rPr>
        <w:t>0.2mg/kg</w:t>
      </w:r>
      <w:r>
        <w:rPr>
          <w:rFonts w:hint="eastAsia" w:ascii="Times New Roman" w:hAnsi="Times New Roman" w:eastAsia="仿宋_GB2312"/>
          <w:sz w:val="32"/>
          <w:szCs w:val="32"/>
        </w:rPr>
        <w:t>。少量的农药残留不会引起人体急性中毒，但长期食用农药残留超标的食品，对人体健康有一定影响。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六、镉（以Cd计）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镉是最常见的重金属元素污染物之一。《食品安全国家标准食品中污染物限量》（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）中规定，镉在鲜、冻水产动物的甲壳类中最大残留限量为</w:t>
      </w:r>
      <w:r>
        <w:rPr>
          <w:rFonts w:ascii="Times New Roman" w:hAnsi="Times New Roman" w:eastAsia="仿宋_GB2312"/>
          <w:sz w:val="32"/>
          <w:szCs w:val="32"/>
        </w:rPr>
        <w:t>0.5mg/kg</w:t>
      </w:r>
      <w:r>
        <w:rPr>
          <w:rFonts w:hint="eastAsia" w:ascii="Times New Roman" w:hAnsi="Times New Roman" w:eastAsia="仿宋_GB2312"/>
          <w:sz w:val="32"/>
          <w:szCs w:val="32"/>
        </w:rPr>
        <w:t>。水产品中镉超标的原因，可能是水产品养殖过程中对环境中镉元素的富集。镉对人体的危害主要是慢性蓄积性，长期大量摄入镉含量超标的食品可能导致肾和骨骼损伤等。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七、钠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钠是人体必需的营养元素。《食品安全国家标准婴幼儿谷类辅助食品》（</w:t>
      </w:r>
      <w:r>
        <w:rPr>
          <w:rFonts w:ascii="Times New Roman" w:hAnsi="Times New Roman" w:eastAsia="仿宋_GB2312"/>
          <w:sz w:val="32"/>
          <w:szCs w:val="32"/>
        </w:rPr>
        <w:t>GB 10769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Times New Roman" w:hAnsi="Times New Roman" w:eastAsia="仿宋_GB2312"/>
          <w:sz w:val="32"/>
          <w:szCs w:val="32"/>
        </w:rPr>
        <w:t>）中规定，婴幼儿谷类辅助食品中钠元素含量最大值为</w:t>
      </w:r>
      <w:r>
        <w:rPr>
          <w:rFonts w:ascii="Times New Roman" w:hAnsi="Times New Roman" w:eastAsia="仿宋_GB2312"/>
          <w:sz w:val="32"/>
          <w:szCs w:val="32"/>
        </w:rPr>
        <w:t>24.0 mg/100kJ</w:t>
      </w:r>
      <w:r>
        <w:rPr>
          <w:rFonts w:hint="eastAsia" w:ascii="Times New Roman" w:hAnsi="Times New Roman" w:eastAsia="仿宋_GB2312"/>
          <w:sz w:val="32"/>
          <w:szCs w:val="32"/>
        </w:rPr>
        <w:t>，且《食品安全国家标准预包装特殊膳食用食品标签》（</w:t>
      </w:r>
      <w:r>
        <w:rPr>
          <w:rFonts w:ascii="Times New Roman" w:hAnsi="Times New Roman" w:eastAsia="仿宋_GB2312"/>
          <w:sz w:val="32"/>
          <w:szCs w:val="32"/>
        </w:rPr>
        <w:t>GB 13432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2013</w:t>
      </w:r>
      <w:r>
        <w:rPr>
          <w:rFonts w:hint="eastAsia" w:ascii="Times New Roman" w:hAnsi="Times New Roman" w:eastAsia="仿宋_GB2312"/>
          <w:sz w:val="32"/>
          <w:szCs w:val="32"/>
        </w:rPr>
        <w:t>）中规定，钠含量不得低于标签明示值的</w:t>
      </w:r>
      <w:r>
        <w:rPr>
          <w:rFonts w:ascii="Times New Roman" w:hAnsi="Times New Roman" w:eastAsia="仿宋_GB2312"/>
          <w:sz w:val="32"/>
          <w:szCs w:val="32"/>
        </w:rPr>
        <w:t>80%</w:t>
      </w:r>
      <w:r>
        <w:rPr>
          <w:rFonts w:hint="eastAsia" w:ascii="Times New Roman" w:hAnsi="Times New Roman" w:eastAsia="仿宋_GB2312"/>
          <w:sz w:val="32"/>
          <w:szCs w:val="32"/>
        </w:rPr>
        <w:t>。钠元素不达标原因，可能是原辅料质量控制不严，包括食品营养强化剂不满足质量规格要求、食品原料本底含量不清等；生产加工环节控制不严，包括生产加工过程中搅拌不均匀、企业未按标签明示值或企业标准的要求进行添加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 w:cs="黑体"/>
          <w:sz w:val="32"/>
          <w:szCs w:val="32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dit="form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F03"/>
    <w:rsid w:val="0000231D"/>
    <w:rsid w:val="0000397C"/>
    <w:rsid w:val="000506C6"/>
    <w:rsid w:val="00057C9D"/>
    <w:rsid w:val="0006147E"/>
    <w:rsid w:val="0007233C"/>
    <w:rsid w:val="00073F8A"/>
    <w:rsid w:val="000800AE"/>
    <w:rsid w:val="00082CA4"/>
    <w:rsid w:val="0008412D"/>
    <w:rsid w:val="00097E5A"/>
    <w:rsid w:val="000A1CA7"/>
    <w:rsid w:val="000C15AC"/>
    <w:rsid w:val="000C5E78"/>
    <w:rsid w:val="000D352B"/>
    <w:rsid w:val="000D7DB8"/>
    <w:rsid w:val="000E50D5"/>
    <w:rsid w:val="000F4B86"/>
    <w:rsid w:val="00102897"/>
    <w:rsid w:val="00113712"/>
    <w:rsid w:val="00120CFE"/>
    <w:rsid w:val="00124BDE"/>
    <w:rsid w:val="00131F1B"/>
    <w:rsid w:val="00143CEB"/>
    <w:rsid w:val="001469CF"/>
    <w:rsid w:val="00150D3C"/>
    <w:rsid w:val="0015289F"/>
    <w:rsid w:val="00156C2C"/>
    <w:rsid w:val="00165889"/>
    <w:rsid w:val="0016724E"/>
    <w:rsid w:val="001901F9"/>
    <w:rsid w:val="001A4EB4"/>
    <w:rsid w:val="001A6ADF"/>
    <w:rsid w:val="001C4310"/>
    <w:rsid w:val="001E7C5C"/>
    <w:rsid w:val="00226B10"/>
    <w:rsid w:val="002372CC"/>
    <w:rsid w:val="00260FFE"/>
    <w:rsid w:val="00261C11"/>
    <w:rsid w:val="0029364F"/>
    <w:rsid w:val="002D2547"/>
    <w:rsid w:val="002F1A53"/>
    <w:rsid w:val="002F4A5C"/>
    <w:rsid w:val="00300325"/>
    <w:rsid w:val="003022CD"/>
    <w:rsid w:val="00306096"/>
    <w:rsid w:val="0034206F"/>
    <w:rsid w:val="003437FE"/>
    <w:rsid w:val="0034436D"/>
    <w:rsid w:val="003455E6"/>
    <w:rsid w:val="00357F27"/>
    <w:rsid w:val="00362896"/>
    <w:rsid w:val="003703FD"/>
    <w:rsid w:val="00383988"/>
    <w:rsid w:val="0038633A"/>
    <w:rsid w:val="003A243B"/>
    <w:rsid w:val="003D473C"/>
    <w:rsid w:val="003E4E18"/>
    <w:rsid w:val="003F7276"/>
    <w:rsid w:val="00407670"/>
    <w:rsid w:val="00412DAF"/>
    <w:rsid w:val="0041724F"/>
    <w:rsid w:val="00417336"/>
    <w:rsid w:val="004364F8"/>
    <w:rsid w:val="0043783B"/>
    <w:rsid w:val="004405E2"/>
    <w:rsid w:val="004478FC"/>
    <w:rsid w:val="0045394C"/>
    <w:rsid w:val="00471090"/>
    <w:rsid w:val="00485881"/>
    <w:rsid w:val="0049418F"/>
    <w:rsid w:val="00494BF9"/>
    <w:rsid w:val="004A654B"/>
    <w:rsid w:val="004A73D7"/>
    <w:rsid w:val="004C2EFF"/>
    <w:rsid w:val="004C6392"/>
    <w:rsid w:val="004D2A8A"/>
    <w:rsid w:val="004D734A"/>
    <w:rsid w:val="004E3A22"/>
    <w:rsid w:val="004E7183"/>
    <w:rsid w:val="004F3D58"/>
    <w:rsid w:val="00520B43"/>
    <w:rsid w:val="00523582"/>
    <w:rsid w:val="00526FCB"/>
    <w:rsid w:val="005317AB"/>
    <w:rsid w:val="00534A48"/>
    <w:rsid w:val="00540E76"/>
    <w:rsid w:val="00546FD2"/>
    <w:rsid w:val="0055475A"/>
    <w:rsid w:val="0057056D"/>
    <w:rsid w:val="0057524F"/>
    <w:rsid w:val="005771A5"/>
    <w:rsid w:val="00580A09"/>
    <w:rsid w:val="005825C1"/>
    <w:rsid w:val="0058530C"/>
    <w:rsid w:val="005918CF"/>
    <w:rsid w:val="00593DD9"/>
    <w:rsid w:val="005B58B4"/>
    <w:rsid w:val="005C1007"/>
    <w:rsid w:val="005D7D45"/>
    <w:rsid w:val="005F459B"/>
    <w:rsid w:val="00606413"/>
    <w:rsid w:val="00613BF8"/>
    <w:rsid w:val="006256E1"/>
    <w:rsid w:val="00654FF5"/>
    <w:rsid w:val="00662754"/>
    <w:rsid w:val="00674ABF"/>
    <w:rsid w:val="006807AC"/>
    <w:rsid w:val="00687316"/>
    <w:rsid w:val="006A5576"/>
    <w:rsid w:val="006C3D93"/>
    <w:rsid w:val="006F32DE"/>
    <w:rsid w:val="006F490A"/>
    <w:rsid w:val="006F7339"/>
    <w:rsid w:val="00700879"/>
    <w:rsid w:val="00703864"/>
    <w:rsid w:val="007158BD"/>
    <w:rsid w:val="00724AE7"/>
    <w:rsid w:val="007304AC"/>
    <w:rsid w:val="00742115"/>
    <w:rsid w:val="00743A76"/>
    <w:rsid w:val="007505B0"/>
    <w:rsid w:val="00752908"/>
    <w:rsid w:val="0077575E"/>
    <w:rsid w:val="0077710D"/>
    <w:rsid w:val="00783A82"/>
    <w:rsid w:val="00790785"/>
    <w:rsid w:val="00795910"/>
    <w:rsid w:val="007E4548"/>
    <w:rsid w:val="007E6B41"/>
    <w:rsid w:val="007F415D"/>
    <w:rsid w:val="00804CA1"/>
    <w:rsid w:val="008117B8"/>
    <w:rsid w:val="008165F3"/>
    <w:rsid w:val="00821CE5"/>
    <w:rsid w:val="00844135"/>
    <w:rsid w:val="00855D39"/>
    <w:rsid w:val="008753EA"/>
    <w:rsid w:val="00880F04"/>
    <w:rsid w:val="00882843"/>
    <w:rsid w:val="00893B31"/>
    <w:rsid w:val="00895177"/>
    <w:rsid w:val="008A53B1"/>
    <w:rsid w:val="008D236C"/>
    <w:rsid w:val="008D7ECA"/>
    <w:rsid w:val="009171D7"/>
    <w:rsid w:val="009479E7"/>
    <w:rsid w:val="009756BD"/>
    <w:rsid w:val="009A0DC6"/>
    <w:rsid w:val="009B17D9"/>
    <w:rsid w:val="009B1CE0"/>
    <w:rsid w:val="009C1544"/>
    <w:rsid w:val="009C2713"/>
    <w:rsid w:val="009C78F5"/>
    <w:rsid w:val="009E0C03"/>
    <w:rsid w:val="009E252B"/>
    <w:rsid w:val="009F3FF4"/>
    <w:rsid w:val="009F4B8A"/>
    <w:rsid w:val="009F7A51"/>
    <w:rsid w:val="00A00833"/>
    <w:rsid w:val="00A03527"/>
    <w:rsid w:val="00A05808"/>
    <w:rsid w:val="00A1575B"/>
    <w:rsid w:val="00A23CDD"/>
    <w:rsid w:val="00A318CE"/>
    <w:rsid w:val="00A339B7"/>
    <w:rsid w:val="00A370EE"/>
    <w:rsid w:val="00A43251"/>
    <w:rsid w:val="00A90FD3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F09AE"/>
    <w:rsid w:val="00B00F0B"/>
    <w:rsid w:val="00B042F7"/>
    <w:rsid w:val="00B147BF"/>
    <w:rsid w:val="00B2770C"/>
    <w:rsid w:val="00B500F9"/>
    <w:rsid w:val="00B50D80"/>
    <w:rsid w:val="00B60BFA"/>
    <w:rsid w:val="00B7205D"/>
    <w:rsid w:val="00B81E79"/>
    <w:rsid w:val="00B87BDE"/>
    <w:rsid w:val="00BA54E8"/>
    <w:rsid w:val="00BC143C"/>
    <w:rsid w:val="00BC5A14"/>
    <w:rsid w:val="00BC6C29"/>
    <w:rsid w:val="00BE115B"/>
    <w:rsid w:val="00BF3BE6"/>
    <w:rsid w:val="00C24969"/>
    <w:rsid w:val="00C32795"/>
    <w:rsid w:val="00C3300F"/>
    <w:rsid w:val="00C57661"/>
    <w:rsid w:val="00C866ED"/>
    <w:rsid w:val="00C903D2"/>
    <w:rsid w:val="00CA2437"/>
    <w:rsid w:val="00CC5731"/>
    <w:rsid w:val="00CD571D"/>
    <w:rsid w:val="00CE0330"/>
    <w:rsid w:val="00CE13D2"/>
    <w:rsid w:val="00CE7DAB"/>
    <w:rsid w:val="00CF0D96"/>
    <w:rsid w:val="00D11774"/>
    <w:rsid w:val="00D16C55"/>
    <w:rsid w:val="00D2271C"/>
    <w:rsid w:val="00D413F8"/>
    <w:rsid w:val="00D457D8"/>
    <w:rsid w:val="00D60EB7"/>
    <w:rsid w:val="00D61881"/>
    <w:rsid w:val="00D74FAD"/>
    <w:rsid w:val="00D762A4"/>
    <w:rsid w:val="00D948CC"/>
    <w:rsid w:val="00D97A82"/>
    <w:rsid w:val="00DA0ECE"/>
    <w:rsid w:val="00DB0017"/>
    <w:rsid w:val="00DC1630"/>
    <w:rsid w:val="00DC6F34"/>
    <w:rsid w:val="00DD6236"/>
    <w:rsid w:val="00DD7850"/>
    <w:rsid w:val="00DE52CB"/>
    <w:rsid w:val="00E202AF"/>
    <w:rsid w:val="00E266F9"/>
    <w:rsid w:val="00E45F03"/>
    <w:rsid w:val="00E46996"/>
    <w:rsid w:val="00E5769E"/>
    <w:rsid w:val="00E610CF"/>
    <w:rsid w:val="00E6449A"/>
    <w:rsid w:val="00E764E7"/>
    <w:rsid w:val="00E822B4"/>
    <w:rsid w:val="00E86B5A"/>
    <w:rsid w:val="00EB0390"/>
    <w:rsid w:val="00EB5D9A"/>
    <w:rsid w:val="00EF2FC7"/>
    <w:rsid w:val="00EF73EB"/>
    <w:rsid w:val="00F04BE5"/>
    <w:rsid w:val="00F17545"/>
    <w:rsid w:val="00F23181"/>
    <w:rsid w:val="00F372B7"/>
    <w:rsid w:val="00F56DA2"/>
    <w:rsid w:val="00F64B8F"/>
    <w:rsid w:val="00F675A5"/>
    <w:rsid w:val="00FB4D20"/>
    <w:rsid w:val="00FC246E"/>
    <w:rsid w:val="00FE1AF9"/>
    <w:rsid w:val="00FF4420"/>
    <w:rsid w:val="0BD96D74"/>
    <w:rsid w:val="14780B94"/>
    <w:rsid w:val="1EAD7DE2"/>
    <w:rsid w:val="5DC72972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7"/>
    <w:link w:val="3"/>
    <w:semiHidden/>
    <w:qFormat/>
    <w:uiPriority w:val="99"/>
  </w:style>
  <w:style w:type="character" w:customStyle="1" w:styleId="15">
    <w:name w:val="批注主题 Char"/>
    <w:basedOn w:val="14"/>
    <w:link w:val="2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05482F-B1A5-402F-AA05-5828268B5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210</Words>
  <Characters>1202</Characters>
  <Lines>10</Lines>
  <Paragraphs>2</Paragraphs>
  <TotalTime>5</TotalTime>
  <ScaleCrop>false</ScaleCrop>
  <LinksUpToDate>false</LinksUpToDate>
  <CharactersWithSpaces>1410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王晓峰</cp:lastModifiedBy>
  <cp:lastPrinted>2016-09-01T02:58:00Z</cp:lastPrinted>
  <dcterms:modified xsi:type="dcterms:W3CDTF">2019-04-28T08:36:47Z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