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32E97" w:rsidRDefault="00BE38A4">
      <w:pPr>
        <w:spacing w:line="600" w:lineRule="exact"/>
        <w:rPr>
          <w:rFonts w:ascii="黑体" w:eastAsia="黑体" w:hAnsi="黑体"/>
          <w:sz w:val="32"/>
          <w:szCs w:val="32"/>
        </w:rPr>
      </w:pPr>
      <w:r>
        <w:rPr>
          <w:rFonts w:ascii="黑体" w:eastAsia="黑体" w:hAnsi="黑体" w:hint="eastAsia"/>
          <w:sz w:val="32"/>
          <w:szCs w:val="32"/>
        </w:rPr>
        <w:t>附件1</w:t>
      </w:r>
    </w:p>
    <w:p w:rsidR="00832E97" w:rsidRDefault="00832E97">
      <w:pPr>
        <w:spacing w:line="600" w:lineRule="exact"/>
        <w:rPr>
          <w:rFonts w:ascii="黑体" w:eastAsia="黑体" w:hAnsi="黑体"/>
          <w:sz w:val="32"/>
          <w:szCs w:val="32"/>
        </w:rPr>
      </w:pPr>
    </w:p>
    <w:p w:rsidR="00832E97" w:rsidRDefault="00BE38A4">
      <w:pPr>
        <w:spacing w:line="600"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832E97" w:rsidRDefault="00832E97">
      <w:pPr>
        <w:spacing w:line="600" w:lineRule="exact"/>
        <w:rPr>
          <w:rFonts w:ascii="方正小标宋简体" w:eastAsia="方正小标宋简体"/>
          <w:spacing w:val="-12"/>
          <w:sz w:val="44"/>
          <w:szCs w:val="44"/>
        </w:rPr>
      </w:pPr>
    </w:p>
    <w:p w:rsidR="00832E97" w:rsidRDefault="00BE38A4">
      <w:pPr>
        <w:spacing w:line="600" w:lineRule="exact"/>
        <w:ind w:firstLineChars="200" w:firstLine="592"/>
        <w:jc w:val="left"/>
        <w:rPr>
          <w:rFonts w:ascii="Times New Roman" w:eastAsia="仿宋_GB2312" w:hAnsi="Times New Roman"/>
          <w:sz w:val="32"/>
          <w:szCs w:val="32"/>
        </w:rPr>
      </w:pPr>
      <w:r>
        <w:rPr>
          <w:rFonts w:ascii="黑体" w:eastAsia="黑体" w:hAnsi="黑体" w:hint="eastAsia"/>
          <w:spacing w:val="-12"/>
          <w:sz w:val="32"/>
          <w:szCs w:val="32"/>
        </w:rPr>
        <w:t>一、氯霉素</w:t>
      </w:r>
    </w:p>
    <w:p w:rsidR="00832E97" w:rsidRDefault="00BE38A4">
      <w:pPr>
        <w:spacing w:line="600" w:lineRule="exact"/>
        <w:ind w:firstLineChars="200" w:firstLine="640"/>
        <w:jc w:val="left"/>
        <w:rPr>
          <w:rFonts w:ascii="Times New Roman" w:eastAsia="仿宋_GB2312" w:hAnsi="Times New Roman" w:cs="Times New Roman"/>
          <w:spacing w:val="-12"/>
          <w:sz w:val="32"/>
          <w:szCs w:val="32"/>
        </w:rPr>
      </w:pPr>
      <w:r>
        <w:rPr>
          <w:rFonts w:ascii="Times New Roman" w:eastAsia="仿宋_GB2312" w:hAnsi="Times New Roman" w:cs="Times New Roman"/>
          <w:sz w:val="32"/>
          <w:szCs w:val="32"/>
        </w:rPr>
        <w:t>氯霉素是一种杀菌剂，也是高效广谱的抗生素，对革兰氏阳性菌和革兰氏阴性菌均有较好的抑制作用。《动物性食品中兽药最高残留限量》（农业部公告第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号）中规定，氯霉素为禁止使用的药物，在动物性食品中不得检出。长期食用</w:t>
      </w:r>
      <w:r>
        <w:rPr>
          <w:rFonts w:ascii="Times New Roman" w:eastAsia="仿宋_GB2312" w:hAnsi="Times New Roman" w:cs="Times New Roman" w:hint="eastAsia"/>
          <w:sz w:val="32"/>
          <w:szCs w:val="32"/>
        </w:rPr>
        <w:t>检出</w:t>
      </w:r>
      <w:r>
        <w:rPr>
          <w:rFonts w:ascii="Times New Roman" w:eastAsia="仿宋_GB2312" w:hAnsi="Times New Roman" w:cs="Times New Roman"/>
          <w:sz w:val="32"/>
          <w:szCs w:val="32"/>
        </w:rPr>
        <w:t>氯霉素的食品可能引起肠道菌群失调，导致消化机能紊乱。人体过量摄入氯霉素可</w:t>
      </w:r>
      <w:r w:rsidR="00701D46">
        <w:rPr>
          <w:rFonts w:ascii="Times New Roman" w:eastAsia="仿宋_GB2312" w:hAnsi="Times New Roman" w:cs="Times New Roman" w:hint="eastAsia"/>
          <w:sz w:val="32"/>
          <w:szCs w:val="32"/>
        </w:rPr>
        <w:t>能</w:t>
      </w:r>
      <w:r>
        <w:rPr>
          <w:rFonts w:ascii="Times New Roman" w:eastAsia="仿宋_GB2312" w:hAnsi="Times New Roman" w:cs="Times New Roman"/>
          <w:sz w:val="32"/>
          <w:szCs w:val="32"/>
        </w:rPr>
        <w:t>引起人肝脏和骨髓造血机能的损害，导致再生障碍性贫血和血小板减少、肝损伤等健康危害。</w:t>
      </w:r>
    </w:p>
    <w:p w:rsidR="00832E97" w:rsidRDefault="00BE38A4">
      <w:pPr>
        <w:spacing w:line="600" w:lineRule="exact"/>
        <w:ind w:firstLineChars="200" w:firstLine="592"/>
        <w:jc w:val="left"/>
        <w:rPr>
          <w:rFonts w:ascii="黑体" w:eastAsia="黑体" w:hAnsi="黑体"/>
          <w:spacing w:val="-12"/>
          <w:sz w:val="32"/>
          <w:szCs w:val="32"/>
        </w:rPr>
      </w:pPr>
      <w:r>
        <w:rPr>
          <w:rFonts w:ascii="黑体" w:eastAsia="黑体" w:hAnsi="黑体" w:hint="eastAsia"/>
          <w:spacing w:val="-12"/>
          <w:sz w:val="32"/>
          <w:szCs w:val="32"/>
        </w:rPr>
        <w:t>二、氧氟沙星</w:t>
      </w:r>
    </w:p>
    <w:p w:rsidR="00832E97" w:rsidRDefault="00BE38A4">
      <w:pPr>
        <w:pStyle w:val="a7"/>
        <w:widowControl/>
        <w:spacing w:beforeAutospacing="0" w:afterAutospacing="0" w:line="60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氧氟沙星属于氟喹诺酮类药物，因抗菌谱广、抗菌活性强等曾被广泛用于畜禽细菌性疾病的治疗和预防。《发布在食品动物中停止使用洛美沙星、培氟沙星、氧氟沙星、诺氟沙星</w:t>
      </w:r>
      <w:r>
        <w:rPr>
          <w:rFonts w:ascii="Times New Roman" w:eastAsia="仿宋_GB2312" w:hAnsi="Times New Roman"/>
          <w:kern w:val="2"/>
          <w:sz w:val="32"/>
          <w:szCs w:val="32"/>
        </w:rPr>
        <w:t>4</w:t>
      </w:r>
      <w:r>
        <w:rPr>
          <w:rFonts w:ascii="Times New Roman" w:eastAsia="仿宋_GB2312" w:hAnsi="Times New Roman"/>
          <w:kern w:val="2"/>
          <w:sz w:val="32"/>
          <w:szCs w:val="32"/>
        </w:rPr>
        <w:t>种兽药的决定》（农业部公告第</w:t>
      </w:r>
      <w:r>
        <w:rPr>
          <w:rFonts w:ascii="Times New Roman" w:eastAsia="仿宋_GB2312" w:hAnsi="Times New Roman"/>
          <w:kern w:val="2"/>
          <w:sz w:val="32"/>
          <w:szCs w:val="32"/>
        </w:rPr>
        <w:t>2292</w:t>
      </w:r>
      <w:r>
        <w:rPr>
          <w:rFonts w:ascii="Times New Roman" w:eastAsia="仿宋_GB2312" w:hAnsi="Times New Roman"/>
          <w:kern w:val="2"/>
          <w:sz w:val="32"/>
          <w:szCs w:val="32"/>
        </w:rPr>
        <w:t>号）中规定，在食品动物中停止使用氧氟沙星（动物性食品中不得检出）。氧氟沙星残留在人体中蓄积，可能引起人体的耐药性。长期摄入检出氧氟沙星的食品，可能会引起轻度胃肠道刺激或不适，头痛、头晕、睡眠不良等症状，大剂量还可能引起肝损害。</w:t>
      </w:r>
    </w:p>
    <w:p w:rsidR="00832E97" w:rsidRDefault="00BE38A4">
      <w:pPr>
        <w:spacing w:line="600" w:lineRule="exact"/>
        <w:ind w:firstLineChars="200" w:firstLine="592"/>
        <w:jc w:val="left"/>
        <w:rPr>
          <w:rFonts w:ascii="仿宋_GB2312" w:eastAsia="仿宋_GB2312"/>
          <w:sz w:val="32"/>
          <w:szCs w:val="32"/>
        </w:rPr>
      </w:pPr>
      <w:r>
        <w:rPr>
          <w:rFonts w:ascii="黑体" w:eastAsia="黑体" w:hAnsi="黑体" w:hint="eastAsia"/>
          <w:spacing w:val="-12"/>
          <w:sz w:val="32"/>
          <w:szCs w:val="32"/>
        </w:rPr>
        <w:lastRenderedPageBreak/>
        <w:t>三、地西泮</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地西泮又名安定，为镇静剂类药物，主要用于焦虑、镇静催眠，还可用于抗癫痫和抗惊厥。《动物性食品中兽药最高残留限量》（农业部公告第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地西泮在动物性食品中不得检出。地西泮可以降低新鲜活鱼对外界的感知能力，降低新陈代谢，保证其经过运输后仍然鲜活，但地西泮在鱼体内残留是永久性的，它可以通过食物链传递给人类。地西泮超过一定剂量</w:t>
      </w:r>
      <w:r w:rsidR="00701D46">
        <w:rPr>
          <w:rFonts w:ascii="Times New Roman" w:eastAsia="仿宋_GB2312" w:hAnsi="Times New Roman" w:cs="Times New Roman" w:hint="eastAsia"/>
          <w:sz w:val="32"/>
          <w:szCs w:val="32"/>
        </w:rPr>
        <w:t>可能</w:t>
      </w:r>
      <w:r>
        <w:rPr>
          <w:rFonts w:ascii="Times New Roman" w:eastAsia="仿宋_GB2312" w:hAnsi="Times New Roman" w:cs="Times New Roman"/>
          <w:sz w:val="32"/>
          <w:szCs w:val="32"/>
        </w:rPr>
        <w:t>会引起人体嗜睡疲乏、动作失调、精神混乱等，严重者还可能出现心律失常、昏迷等症状。</w:t>
      </w:r>
    </w:p>
    <w:p w:rsidR="00832E97" w:rsidRDefault="00BE38A4">
      <w:pPr>
        <w:spacing w:line="600" w:lineRule="exact"/>
        <w:ind w:firstLineChars="200" w:firstLine="592"/>
        <w:jc w:val="left"/>
        <w:rPr>
          <w:rFonts w:ascii="黑体" w:eastAsia="黑体" w:hAnsi="黑体"/>
          <w:spacing w:val="-12"/>
          <w:sz w:val="32"/>
          <w:szCs w:val="32"/>
        </w:rPr>
      </w:pPr>
      <w:r>
        <w:rPr>
          <w:rFonts w:ascii="黑体" w:eastAsia="黑体" w:hAnsi="黑体" w:hint="eastAsia"/>
          <w:spacing w:val="-12"/>
          <w:sz w:val="32"/>
          <w:szCs w:val="32"/>
        </w:rPr>
        <w:t>四、毒死蜱</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毒死蜱是一种具有触杀、胃毒和熏蒸作用的有机磷杀虫剂。《食品安全国家标准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）中规定，毒死蜱在芹菜中的最大残留限量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0.05mg/kg</w:t>
      </w:r>
      <w:r>
        <w:rPr>
          <w:rFonts w:ascii="Times New Roman" w:eastAsia="仿宋_GB2312" w:hAnsi="Times New Roman" w:cs="Times New Roman"/>
          <w:sz w:val="32"/>
          <w:szCs w:val="32"/>
        </w:rPr>
        <w:t>。毒死蜱对鱼类及水生生物毒性较高，在土壤中残留期较长。长期暴露在含有毒死蜱的环境中，可能会导致神经毒性、生殖毒性，影响胚胎的生长发育。长期食用</w:t>
      </w:r>
      <w:r>
        <w:rPr>
          <w:rFonts w:ascii="Times New Roman" w:eastAsia="仿宋_GB2312" w:hAnsi="Times New Roman" w:cs="Times New Roman" w:hint="eastAsia"/>
          <w:sz w:val="32"/>
          <w:szCs w:val="32"/>
        </w:rPr>
        <w:t>毒死蜱</w:t>
      </w:r>
      <w:r>
        <w:rPr>
          <w:rFonts w:ascii="Times New Roman" w:eastAsia="仿宋_GB2312" w:hAnsi="Times New Roman" w:cs="Times New Roman"/>
          <w:sz w:val="32"/>
          <w:szCs w:val="32"/>
        </w:rPr>
        <w:t>残留超标的食品，对人体健康有一定影响。</w:t>
      </w:r>
    </w:p>
    <w:p w:rsidR="00832E97" w:rsidRDefault="00BE38A4">
      <w:pPr>
        <w:spacing w:line="600" w:lineRule="exact"/>
        <w:ind w:firstLineChars="200" w:firstLine="592"/>
        <w:jc w:val="left"/>
        <w:rPr>
          <w:rFonts w:ascii="黑体" w:eastAsia="黑体" w:hAnsi="黑体"/>
          <w:spacing w:val="-12"/>
          <w:sz w:val="32"/>
          <w:szCs w:val="32"/>
        </w:rPr>
      </w:pPr>
      <w:r>
        <w:rPr>
          <w:rFonts w:ascii="黑体" w:eastAsia="黑体" w:hAnsi="黑体" w:hint="eastAsia"/>
          <w:spacing w:val="-12"/>
          <w:sz w:val="32"/>
          <w:szCs w:val="32"/>
        </w:rPr>
        <w:t>五、恩诺沙星（以恩诺沙星与环丙沙星之和计）</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恩诺沙星属于氟喹诺酮类药物，是一类人工合成的广谱抗菌药，用于治疗动物的皮肤感染、呼吸道感染等，是动物专属用药。《动物性食品中兽药最高残留限量》（农业部公告第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w:t>
      </w:r>
      <w:r>
        <w:rPr>
          <w:rFonts w:ascii="Times New Roman" w:eastAsia="仿宋_GB2312" w:hAnsi="Times New Roman" w:cs="Times New Roman"/>
          <w:sz w:val="32"/>
          <w:szCs w:val="32"/>
        </w:rPr>
        <w:lastRenderedPageBreak/>
        <w:t>规定，恩诺沙星（以恩诺沙星和环丙沙星之和计）可用于牛、羊、猪、兔、禽等食用畜禽及其他动物，在牛、禽和其他动物的肌肉中的最</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残留限量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100μg/kg</w:t>
      </w:r>
      <w:r>
        <w:rPr>
          <w:rFonts w:ascii="Times New Roman" w:eastAsia="仿宋_GB2312" w:hAnsi="Times New Roman" w:cs="Times New Roman"/>
          <w:sz w:val="32"/>
          <w:szCs w:val="32"/>
        </w:rPr>
        <w:t>。长期食用恩诺沙星超标的食品，可能会对人体健康有一定影响。</w:t>
      </w:r>
    </w:p>
    <w:p w:rsidR="00832E97" w:rsidRDefault="00BE38A4">
      <w:pPr>
        <w:spacing w:line="600" w:lineRule="exact"/>
        <w:ind w:firstLineChars="200" w:firstLine="592"/>
        <w:jc w:val="left"/>
        <w:rPr>
          <w:rFonts w:ascii="Times New Roman" w:eastAsia="仿宋_GB2312" w:hAnsi="Times New Roman"/>
          <w:sz w:val="32"/>
          <w:szCs w:val="32"/>
        </w:rPr>
      </w:pPr>
      <w:r>
        <w:rPr>
          <w:rFonts w:ascii="黑体" w:eastAsia="黑体" w:hAnsi="黑体" w:hint="eastAsia"/>
          <w:spacing w:val="-12"/>
          <w:sz w:val="32"/>
          <w:szCs w:val="32"/>
        </w:rPr>
        <w:t>六、镉（以</w:t>
      </w:r>
      <w:r>
        <w:rPr>
          <w:rFonts w:ascii="Times New Roman" w:eastAsia="黑体" w:hAnsi="Times New Roman" w:cs="Times New Roman"/>
          <w:spacing w:val="-12"/>
          <w:sz w:val="32"/>
          <w:szCs w:val="32"/>
        </w:rPr>
        <w:t>Cd</w:t>
      </w:r>
      <w:r>
        <w:rPr>
          <w:rFonts w:ascii="黑体" w:eastAsia="黑体" w:hAnsi="黑体" w:hint="eastAsia"/>
          <w:spacing w:val="-12"/>
          <w:sz w:val="32"/>
          <w:szCs w:val="32"/>
        </w:rPr>
        <w:t>计）</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镉是最常见的重金属元素污染物之一。《食品安全国家标准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）中规定，镉在鲜、冻水产动物的甲壳类中</w:t>
      </w:r>
      <w:r>
        <w:rPr>
          <w:rFonts w:ascii="Times New Roman" w:eastAsia="仿宋_GB2312" w:hAnsi="Times New Roman" w:cs="Times New Roman" w:hint="eastAsia"/>
          <w:sz w:val="32"/>
          <w:szCs w:val="32"/>
        </w:rPr>
        <w:t>最大</w:t>
      </w:r>
      <w:r>
        <w:rPr>
          <w:rFonts w:ascii="Times New Roman" w:eastAsia="仿宋_GB2312" w:hAnsi="Times New Roman" w:cs="Times New Roman"/>
          <w:sz w:val="32"/>
          <w:szCs w:val="32"/>
        </w:rPr>
        <w:t>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0.5mg/kg</w:t>
      </w:r>
      <w:r>
        <w:rPr>
          <w:rFonts w:ascii="Times New Roman" w:eastAsia="仿宋_GB2312" w:hAnsi="Times New Roman" w:cs="Times New Roman"/>
          <w:sz w:val="32"/>
          <w:szCs w:val="32"/>
        </w:rPr>
        <w:t>。水产品中镉超标</w:t>
      </w:r>
      <w:r>
        <w:rPr>
          <w:rFonts w:ascii="Times New Roman" w:eastAsia="仿宋_GB2312" w:hAnsi="Times New Roman" w:cs="Times New Roman" w:hint="eastAsia"/>
          <w:sz w:val="32"/>
          <w:szCs w:val="32"/>
        </w:rPr>
        <w:t>的原因</w:t>
      </w:r>
      <w:r>
        <w:rPr>
          <w:rFonts w:ascii="Times New Roman" w:eastAsia="仿宋_GB2312" w:hAnsi="Times New Roman" w:cs="Times New Roman"/>
          <w:sz w:val="32"/>
          <w:szCs w:val="32"/>
        </w:rPr>
        <w:t>，可能是水产品养殖过程中对环境中镉元素的富集。镉对人体的危害主要是慢性蓄积性，长期大量摄入镉含量超标的食品可能会导致肾和骨骼损伤等健康危害。</w:t>
      </w:r>
    </w:p>
    <w:p w:rsidR="00832E97" w:rsidRDefault="00BE38A4">
      <w:pPr>
        <w:spacing w:line="600" w:lineRule="exact"/>
        <w:ind w:firstLineChars="200" w:firstLine="592"/>
        <w:jc w:val="left"/>
        <w:rPr>
          <w:rFonts w:ascii="Times New Roman" w:eastAsia="黑体" w:hAnsi="Times New Roman"/>
          <w:sz w:val="32"/>
          <w:szCs w:val="32"/>
        </w:rPr>
      </w:pPr>
      <w:r>
        <w:rPr>
          <w:rFonts w:ascii="Times New Roman" w:eastAsia="黑体" w:hAnsi="黑体" w:cs="Times New Roman" w:hint="eastAsia"/>
          <w:spacing w:val="-12"/>
          <w:sz w:val="32"/>
          <w:szCs w:val="32"/>
        </w:rPr>
        <w:t>七</w:t>
      </w:r>
      <w:r>
        <w:rPr>
          <w:rFonts w:ascii="Times New Roman" w:eastAsia="黑体" w:hAnsi="黑体" w:cs="Times New Roman"/>
          <w:spacing w:val="-12"/>
          <w:sz w:val="32"/>
          <w:szCs w:val="32"/>
        </w:rPr>
        <w:t>、</w:t>
      </w:r>
      <w:r>
        <w:rPr>
          <w:rFonts w:ascii="Times New Roman" w:eastAsia="黑体" w:hAnsi="Times New Roman" w:hint="eastAsia"/>
          <w:kern w:val="0"/>
          <w:sz w:val="32"/>
          <w:szCs w:val="32"/>
        </w:rPr>
        <w:t>防腐剂混合使用时各自用量占其最大使用量的比例之和</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防腐剂是常见的食品添加剂，能抑制微生物的生长繁殖，防止食品腐败变质从而延长保质期。《食品安全国家标</w:t>
      </w:r>
      <w:r>
        <w:rPr>
          <w:rFonts w:ascii="Times New Roman" w:eastAsia="仿宋_GB2312" w:hAnsi="Times New Roman" w:cs="Times New Roman"/>
          <w:spacing w:val="-20"/>
          <w:sz w:val="32"/>
          <w:szCs w:val="32"/>
        </w:rPr>
        <w:t>准</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rPr>
        <w:t>食</w:t>
      </w:r>
      <w:r>
        <w:rPr>
          <w:rFonts w:ascii="Times New Roman" w:eastAsia="仿宋_GB2312" w:hAnsi="Times New Roman" w:cs="Times New Roman"/>
          <w:sz w:val="32"/>
          <w:szCs w:val="32"/>
        </w:rPr>
        <w:t>品添加剂使用标准》</w:t>
      </w:r>
      <w:r>
        <w:rPr>
          <w:rFonts w:ascii="Times New Roman" w:eastAsia="仿宋_GB2312" w:hAnsi="Times New Roman" w:cs="Times New Roman"/>
          <w:spacing w:val="-20"/>
          <w:sz w:val="32"/>
          <w:szCs w:val="32"/>
        </w:rPr>
        <w:t>（</w:t>
      </w:r>
      <w:r>
        <w:rPr>
          <w:rFonts w:ascii="Times New Roman" w:eastAsia="仿宋_GB2312" w:hAnsi="Times New Roman" w:cs="Times New Roman"/>
          <w:color w:val="000000"/>
          <w:kern w:val="0"/>
          <w:sz w:val="32"/>
          <w:szCs w:val="32"/>
          <w:shd w:val="clear" w:color="auto" w:fill="FFFFFF"/>
        </w:rPr>
        <w:t>GB 2760</w:t>
      </w:r>
      <w:r>
        <w:rPr>
          <w:rFonts w:ascii="仿宋_GB2312" w:eastAsia="仿宋_GB2312" w:hAnsi="Times New Roman" w:cs="Times New Roman" w:hint="eastAsia"/>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2014</w:t>
      </w:r>
      <w:r>
        <w:rPr>
          <w:rFonts w:ascii="Times New Roman" w:eastAsia="仿宋_GB2312" w:hAnsi="Times New Roman" w:cs="Times New Roman"/>
          <w:spacing w:val="-20"/>
          <w:sz w:val="32"/>
          <w:szCs w:val="32"/>
        </w:rPr>
        <w:t>）</w:t>
      </w:r>
      <w:r>
        <w:rPr>
          <w:rFonts w:ascii="Times New Roman" w:eastAsia="仿宋_GB2312" w:hAnsi="Times New Roman" w:cs="Times New Roman"/>
          <w:sz w:val="32"/>
          <w:szCs w:val="32"/>
        </w:rPr>
        <w:t>中规定，防腐剂在混合使用时，各自用量占其最大使用量的比例之和不应超过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。糕点中防腐剂混合使用时各自用量占其最大使用量的比例之和超标的原因，可能是生产厂商对国家标准不了解或了解得不够透彻，随意添加多种防腐剂所致。</w:t>
      </w:r>
    </w:p>
    <w:p w:rsidR="00832E97" w:rsidRDefault="00BE38A4">
      <w:pPr>
        <w:spacing w:line="600" w:lineRule="exact"/>
        <w:ind w:firstLineChars="200" w:firstLine="592"/>
        <w:jc w:val="left"/>
        <w:rPr>
          <w:rFonts w:ascii="Times New Roman" w:eastAsia="黑体" w:hAnsi="黑体" w:cs="Times New Roman"/>
          <w:spacing w:val="-12"/>
          <w:sz w:val="32"/>
          <w:szCs w:val="32"/>
        </w:rPr>
      </w:pPr>
      <w:r>
        <w:rPr>
          <w:rFonts w:ascii="Times New Roman" w:eastAsia="黑体" w:hAnsi="黑体" w:cs="Times New Roman" w:hint="eastAsia"/>
          <w:spacing w:val="-12"/>
          <w:sz w:val="32"/>
          <w:szCs w:val="32"/>
        </w:rPr>
        <w:t>八</w:t>
      </w:r>
      <w:r>
        <w:rPr>
          <w:rFonts w:ascii="Times New Roman" w:eastAsia="黑体" w:hAnsi="黑体" w:cs="Times New Roman"/>
          <w:spacing w:val="-12"/>
          <w:sz w:val="32"/>
          <w:szCs w:val="32"/>
        </w:rPr>
        <w:t>、</w:t>
      </w:r>
      <w:r>
        <w:rPr>
          <w:rFonts w:ascii="Times New Roman" w:eastAsia="黑体" w:hAnsi="黑体" w:cs="Times New Roman" w:hint="eastAsia"/>
          <w:spacing w:val="-12"/>
          <w:sz w:val="32"/>
          <w:szCs w:val="32"/>
        </w:rPr>
        <w:t>丙二醇</w:t>
      </w:r>
    </w:p>
    <w:p w:rsidR="00832E97" w:rsidRDefault="00BE38A4">
      <w:pPr>
        <w:spacing w:line="600" w:lineRule="exact"/>
        <w:ind w:leftChars="50" w:left="105" w:firstLineChars="150"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丙二醇是一种食品添加剂，在食品中</w:t>
      </w:r>
      <w:r>
        <w:rPr>
          <w:rFonts w:ascii="Times New Roman" w:eastAsia="仿宋_GB2312" w:hAnsi="Times New Roman" w:cs="Times New Roman"/>
          <w:color w:val="232323"/>
          <w:sz w:val="32"/>
          <w:szCs w:val="32"/>
          <w:shd w:val="clear" w:color="auto" w:fill="FFFFFF"/>
        </w:rPr>
        <w:t>主要起到稳定和凝固、</w:t>
      </w:r>
      <w:r>
        <w:rPr>
          <w:rFonts w:ascii="Times New Roman" w:eastAsia="仿宋_GB2312" w:hAnsi="Times New Roman" w:cs="Times New Roman"/>
          <w:color w:val="232323"/>
          <w:sz w:val="32"/>
          <w:szCs w:val="32"/>
          <w:shd w:val="clear" w:color="auto" w:fill="FFFFFF"/>
        </w:rPr>
        <w:lastRenderedPageBreak/>
        <w:t>抗结、消泡、乳化、水分保持、增稠等作用</w:t>
      </w:r>
      <w:r>
        <w:rPr>
          <w:rFonts w:ascii="Times New Roman" w:eastAsia="仿宋_GB2312" w:hAnsi="Times New Roman" w:cs="Times New Roman"/>
          <w:sz w:val="32"/>
          <w:szCs w:val="32"/>
        </w:rPr>
        <w:t>。《食品安全国家标准食品添加剂使用标准》（</w:t>
      </w:r>
      <w:r>
        <w:rPr>
          <w:rFonts w:ascii="Times New Roman" w:eastAsia="仿宋_GB2312" w:hAnsi="Times New Roman" w:cs="Times New Roman"/>
          <w:sz w:val="32"/>
          <w:szCs w:val="32"/>
        </w:rPr>
        <w:t>GB2760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）中规定，丙二醇在糕点中的最大使用量应不超过</w:t>
      </w:r>
      <w:r>
        <w:rPr>
          <w:rFonts w:ascii="Times New Roman" w:eastAsia="仿宋_GB2312" w:hAnsi="Times New Roman" w:cs="Times New Roman"/>
          <w:sz w:val="32"/>
          <w:szCs w:val="32"/>
        </w:rPr>
        <w:t>3.0g/kg</w:t>
      </w:r>
      <w:r>
        <w:rPr>
          <w:rFonts w:ascii="Times New Roman" w:eastAsia="仿宋_GB2312" w:hAnsi="Times New Roman" w:cs="Times New Roman"/>
          <w:sz w:val="32"/>
          <w:szCs w:val="32"/>
        </w:rPr>
        <w:t>。糕点中丙二醇超标的原因，可能是个别企业为改善产品口感，在生产加工过程中超限量使用食品添加剂丙二醇，或者其使用的复配添加剂中丙二醇含量过高。</w:t>
      </w:r>
    </w:p>
    <w:p w:rsidR="00832E97" w:rsidRDefault="00BE38A4">
      <w:pPr>
        <w:spacing w:line="600" w:lineRule="exact"/>
        <w:ind w:firstLineChars="200" w:firstLine="592"/>
        <w:jc w:val="left"/>
        <w:rPr>
          <w:rFonts w:ascii="Times New Roman" w:eastAsia="黑体" w:hAnsi="Times New Roman"/>
          <w:spacing w:val="-12"/>
          <w:sz w:val="32"/>
          <w:szCs w:val="32"/>
        </w:rPr>
      </w:pPr>
      <w:r>
        <w:rPr>
          <w:rFonts w:ascii="Times New Roman" w:eastAsia="黑体" w:hAnsi="Times New Roman" w:hint="eastAsia"/>
          <w:spacing w:val="-12"/>
          <w:sz w:val="32"/>
          <w:szCs w:val="32"/>
        </w:rPr>
        <w:t>九、色值</w:t>
      </w:r>
    </w:p>
    <w:p w:rsidR="00832E97" w:rsidRDefault="00BE38A4">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色值是食糖的品质指标之一，是白砂糖、绵白糖、冰糖等质量等级划分的主要依据之一，它主要影响糖品的外观，是杂质多寡的一种反映，也是生产工艺水平的一种体现。国家标准《白砂糖》（</w:t>
      </w:r>
      <w:r>
        <w:rPr>
          <w:rFonts w:ascii="Times New Roman" w:eastAsia="仿宋_GB2312" w:hAnsi="Times New Roman" w:cs="Times New Roman"/>
          <w:sz w:val="32"/>
          <w:szCs w:val="32"/>
        </w:rPr>
        <w:t>GB/T 317</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）中规定，</w:t>
      </w:r>
      <w:r>
        <w:rPr>
          <w:rFonts w:ascii="Times New Roman" w:eastAsia="仿宋_GB2312" w:hAnsi="Times New Roman" w:cs="Times New Roman" w:hint="eastAsia"/>
          <w:sz w:val="32"/>
          <w:szCs w:val="32"/>
        </w:rPr>
        <w:t>一级白砂糖的色值最大值不得超过</w:t>
      </w:r>
      <w:r>
        <w:rPr>
          <w:rFonts w:ascii="Times New Roman" w:eastAsia="仿宋_GB2312" w:hAnsi="Times New Roman" w:cs="Times New Roman" w:hint="eastAsia"/>
          <w:sz w:val="32"/>
          <w:szCs w:val="32"/>
        </w:rPr>
        <w:t>150 IU</w:t>
      </w:r>
      <w:r>
        <w:rPr>
          <w:rFonts w:ascii="Times New Roman" w:eastAsia="仿宋_GB2312" w:hAnsi="Times New Roman" w:cs="Times New Roman"/>
          <w:sz w:val="32"/>
          <w:szCs w:val="32"/>
        </w:rPr>
        <w:t>。色值超标的原因，可能是生产企业关键工艺控制不当、食糖储运条件不佳等。</w:t>
      </w:r>
      <w:bookmarkStart w:id="0" w:name="_GoBack"/>
      <w:bookmarkEnd w:id="0"/>
    </w:p>
    <w:p w:rsidR="00832E97" w:rsidRDefault="00832E97">
      <w:pPr>
        <w:spacing w:line="600" w:lineRule="exact"/>
        <w:ind w:firstLineChars="200" w:firstLine="640"/>
        <w:jc w:val="left"/>
        <w:rPr>
          <w:rFonts w:ascii="Times New Roman" w:eastAsia="仿宋_GB2312" w:hAnsi="Times New Roman" w:cs="Times New Roman"/>
          <w:sz w:val="32"/>
          <w:szCs w:val="32"/>
        </w:rPr>
      </w:pPr>
    </w:p>
    <w:p w:rsidR="00832E97" w:rsidRDefault="00832E97">
      <w:pPr>
        <w:spacing w:line="600" w:lineRule="exact"/>
        <w:ind w:firstLineChars="200" w:firstLine="640"/>
        <w:jc w:val="left"/>
        <w:rPr>
          <w:rFonts w:ascii="Times New Roman" w:eastAsia="仿宋_GB2312" w:hAnsi="Times New Roman"/>
          <w:sz w:val="32"/>
          <w:szCs w:val="32"/>
        </w:rPr>
      </w:pPr>
    </w:p>
    <w:p w:rsidR="00832E97" w:rsidRDefault="00832E97">
      <w:pPr>
        <w:spacing w:line="600" w:lineRule="exact"/>
        <w:ind w:firstLineChars="200" w:firstLine="640"/>
        <w:jc w:val="left"/>
        <w:rPr>
          <w:rFonts w:ascii="Times New Roman" w:eastAsia="仿宋_GB2312" w:hAnsi="Times New Roman"/>
          <w:sz w:val="32"/>
          <w:szCs w:val="32"/>
        </w:rPr>
      </w:pPr>
    </w:p>
    <w:p w:rsidR="00832E97" w:rsidRDefault="00832E97">
      <w:pPr>
        <w:spacing w:line="600" w:lineRule="exact"/>
        <w:ind w:firstLineChars="200" w:firstLine="592"/>
        <w:jc w:val="left"/>
        <w:rPr>
          <w:rFonts w:ascii="黑体" w:eastAsia="黑体" w:hAnsi="黑体"/>
          <w:spacing w:val="-12"/>
          <w:sz w:val="32"/>
          <w:szCs w:val="32"/>
        </w:rPr>
      </w:pPr>
    </w:p>
    <w:sectPr w:rsidR="00832E97" w:rsidSect="00832E9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E97" w:rsidRDefault="00832E97" w:rsidP="00832E97">
      <w:r>
        <w:separator/>
      </w:r>
    </w:p>
  </w:endnote>
  <w:endnote w:type="continuationSeparator" w:id="1">
    <w:p w:rsidR="00832E97" w:rsidRDefault="00832E97" w:rsidP="00832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832E97" w:rsidRDefault="00EF12B0">
        <w:pPr>
          <w:pStyle w:val="a5"/>
          <w:jc w:val="center"/>
        </w:pPr>
        <w:r>
          <w:fldChar w:fldCharType="begin"/>
        </w:r>
        <w:r w:rsidR="00BE38A4">
          <w:instrText>PAGE   \* MERGEFORMAT</w:instrText>
        </w:r>
        <w:r>
          <w:fldChar w:fldCharType="separate"/>
        </w:r>
        <w:r w:rsidR="001F3321" w:rsidRPr="001F3321">
          <w:rPr>
            <w:noProof/>
            <w:lang w:val="zh-CN"/>
          </w:rPr>
          <w:t>1</w:t>
        </w:r>
        <w:r>
          <w:fldChar w:fldCharType="end"/>
        </w:r>
      </w:p>
    </w:sdtContent>
  </w:sdt>
  <w:p w:rsidR="00832E97" w:rsidRDefault="00832E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E97" w:rsidRDefault="00832E97" w:rsidP="00832E97">
      <w:r>
        <w:separator/>
      </w:r>
    </w:p>
  </w:footnote>
  <w:footnote w:type="continuationSeparator" w:id="1">
    <w:p w:rsidR="00832E97" w:rsidRDefault="00832E97" w:rsidP="00832E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F03"/>
    <w:rsid w:val="0000231D"/>
    <w:rsid w:val="0000397C"/>
    <w:rsid w:val="00025D39"/>
    <w:rsid w:val="000506C6"/>
    <w:rsid w:val="000525F4"/>
    <w:rsid w:val="00057C9D"/>
    <w:rsid w:val="0006147E"/>
    <w:rsid w:val="0007233C"/>
    <w:rsid w:val="00073F8A"/>
    <w:rsid w:val="000800AE"/>
    <w:rsid w:val="00082CA4"/>
    <w:rsid w:val="0008412D"/>
    <w:rsid w:val="00097E5A"/>
    <w:rsid w:val="000A1CA7"/>
    <w:rsid w:val="000C15AC"/>
    <w:rsid w:val="000C5E78"/>
    <w:rsid w:val="000D352B"/>
    <w:rsid w:val="000D7DB8"/>
    <w:rsid w:val="000E50D5"/>
    <w:rsid w:val="000F4B86"/>
    <w:rsid w:val="00102897"/>
    <w:rsid w:val="00113712"/>
    <w:rsid w:val="00120CFE"/>
    <w:rsid w:val="00124BDE"/>
    <w:rsid w:val="00131F1B"/>
    <w:rsid w:val="00143CEB"/>
    <w:rsid w:val="001469CF"/>
    <w:rsid w:val="00150D3C"/>
    <w:rsid w:val="0015289F"/>
    <w:rsid w:val="00152B48"/>
    <w:rsid w:val="00156C2C"/>
    <w:rsid w:val="00165889"/>
    <w:rsid w:val="0016724E"/>
    <w:rsid w:val="001901F9"/>
    <w:rsid w:val="0019223D"/>
    <w:rsid w:val="001A4EB4"/>
    <w:rsid w:val="001A6ADF"/>
    <w:rsid w:val="001C4310"/>
    <w:rsid w:val="001E7C5C"/>
    <w:rsid w:val="001F3321"/>
    <w:rsid w:val="00212D3A"/>
    <w:rsid w:val="00226B10"/>
    <w:rsid w:val="002372CC"/>
    <w:rsid w:val="00260FFE"/>
    <w:rsid w:val="00261C11"/>
    <w:rsid w:val="0029364F"/>
    <w:rsid w:val="00296D09"/>
    <w:rsid w:val="002D2547"/>
    <w:rsid w:val="002F1A53"/>
    <w:rsid w:val="002F4A5C"/>
    <w:rsid w:val="00300325"/>
    <w:rsid w:val="003022CD"/>
    <w:rsid w:val="00306096"/>
    <w:rsid w:val="0034206F"/>
    <w:rsid w:val="003437FE"/>
    <w:rsid w:val="0034436D"/>
    <w:rsid w:val="003455E6"/>
    <w:rsid w:val="00357F27"/>
    <w:rsid w:val="00362896"/>
    <w:rsid w:val="003703FD"/>
    <w:rsid w:val="00383988"/>
    <w:rsid w:val="00384E97"/>
    <w:rsid w:val="0038633A"/>
    <w:rsid w:val="003A243B"/>
    <w:rsid w:val="003B53BC"/>
    <w:rsid w:val="003D473C"/>
    <w:rsid w:val="003E4E18"/>
    <w:rsid w:val="003F7276"/>
    <w:rsid w:val="00407670"/>
    <w:rsid w:val="00412DAF"/>
    <w:rsid w:val="00413ED8"/>
    <w:rsid w:val="0041724F"/>
    <w:rsid w:val="00417336"/>
    <w:rsid w:val="004364F8"/>
    <w:rsid w:val="0043783B"/>
    <w:rsid w:val="004405E2"/>
    <w:rsid w:val="004478FC"/>
    <w:rsid w:val="0045394C"/>
    <w:rsid w:val="004655D2"/>
    <w:rsid w:val="00471090"/>
    <w:rsid w:val="00484E66"/>
    <w:rsid w:val="00485881"/>
    <w:rsid w:val="0049418F"/>
    <w:rsid w:val="00494BF9"/>
    <w:rsid w:val="004A654B"/>
    <w:rsid w:val="004A73D7"/>
    <w:rsid w:val="004C2EFF"/>
    <w:rsid w:val="004C6392"/>
    <w:rsid w:val="004D2A8A"/>
    <w:rsid w:val="004D734A"/>
    <w:rsid w:val="004E3A22"/>
    <w:rsid w:val="004E7183"/>
    <w:rsid w:val="004F03F0"/>
    <w:rsid w:val="004F3D58"/>
    <w:rsid w:val="00520B43"/>
    <w:rsid w:val="00523582"/>
    <w:rsid w:val="00526FCB"/>
    <w:rsid w:val="005317AB"/>
    <w:rsid w:val="00534A48"/>
    <w:rsid w:val="00540E76"/>
    <w:rsid w:val="00546FD2"/>
    <w:rsid w:val="0055475A"/>
    <w:rsid w:val="0057056D"/>
    <w:rsid w:val="0057524F"/>
    <w:rsid w:val="005771A5"/>
    <w:rsid w:val="00580A09"/>
    <w:rsid w:val="0058530C"/>
    <w:rsid w:val="005918CF"/>
    <w:rsid w:val="00593DD9"/>
    <w:rsid w:val="005A0908"/>
    <w:rsid w:val="005B58B4"/>
    <w:rsid w:val="005C1007"/>
    <w:rsid w:val="005D7D45"/>
    <w:rsid w:val="005F459B"/>
    <w:rsid w:val="00606413"/>
    <w:rsid w:val="00613BF8"/>
    <w:rsid w:val="0061401E"/>
    <w:rsid w:val="006256E1"/>
    <w:rsid w:val="00636391"/>
    <w:rsid w:val="00654C1B"/>
    <w:rsid w:val="00654FF5"/>
    <w:rsid w:val="00655A5C"/>
    <w:rsid w:val="00662754"/>
    <w:rsid w:val="00674ABF"/>
    <w:rsid w:val="006807AC"/>
    <w:rsid w:val="00687316"/>
    <w:rsid w:val="006A3FFE"/>
    <w:rsid w:val="006A5576"/>
    <w:rsid w:val="006C3D93"/>
    <w:rsid w:val="006F32DE"/>
    <w:rsid w:val="006F490A"/>
    <w:rsid w:val="006F7339"/>
    <w:rsid w:val="00700879"/>
    <w:rsid w:val="00701D46"/>
    <w:rsid w:val="00703864"/>
    <w:rsid w:val="007158BD"/>
    <w:rsid w:val="00724AE7"/>
    <w:rsid w:val="007304AC"/>
    <w:rsid w:val="00731AA9"/>
    <w:rsid w:val="00742115"/>
    <w:rsid w:val="00743A76"/>
    <w:rsid w:val="007505B0"/>
    <w:rsid w:val="00752908"/>
    <w:rsid w:val="00762EE5"/>
    <w:rsid w:val="00767E9C"/>
    <w:rsid w:val="0077575E"/>
    <w:rsid w:val="0077710D"/>
    <w:rsid w:val="00783A82"/>
    <w:rsid w:val="00790785"/>
    <w:rsid w:val="00795910"/>
    <w:rsid w:val="007A37A7"/>
    <w:rsid w:val="007B44FC"/>
    <w:rsid w:val="007E4548"/>
    <w:rsid w:val="007E6B41"/>
    <w:rsid w:val="007F3953"/>
    <w:rsid w:val="007F415D"/>
    <w:rsid w:val="00804CA1"/>
    <w:rsid w:val="008117B8"/>
    <w:rsid w:val="008165F3"/>
    <w:rsid w:val="0081686E"/>
    <w:rsid w:val="00821CE5"/>
    <w:rsid w:val="00832E97"/>
    <w:rsid w:val="00835787"/>
    <w:rsid w:val="00844135"/>
    <w:rsid w:val="00855D39"/>
    <w:rsid w:val="00873950"/>
    <w:rsid w:val="008753EA"/>
    <w:rsid w:val="00880F04"/>
    <w:rsid w:val="00882843"/>
    <w:rsid w:val="00891FD8"/>
    <w:rsid w:val="00893B31"/>
    <w:rsid w:val="00895177"/>
    <w:rsid w:val="008A17A5"/>
    <w:rsid w:val="008A26C2"/>
    <w:rsid w:val="008A53B1"/>
    <w:rsid w:val="008C2A73"/>
    <w:rsid w:val="008D236C"/>
    <w:rsid w:val="008D7ECA"/>
    <w:rsid w:val="008E5CAE"/>
    <w:rsid w:val="009171D7"/>
    <w:rsid w:val="00937C2B"/>
    <w:rsid w:val="009479E7"/>
    <w:rsid w:val="009726AF"/>
    <w:rsid w:val="009756BD"/>
    <w:rsid w:val="009A0DC6"/>
    <w:rsid w:val="009B17D9"/>
    <w:rsid w:val="009B1CE0"/>
    <w:rsid w:val="009C2713"/>
    <w:rsid w:val="009C40AB"/>
    <w:rsid w:val="009C78F5"/>
    <w:rsid w:val="009E0C03"/>
    <w:rsid w:val="009E252B"/>
    <w:rsid w:val="009F3FF4"/>
    <w:rsid w:val="009F4B8A"/>
    <w:rsid w:val="009F7A51"/>
    <w:rsid w:val="00A00833"/>
    <w:rsid w:val="00A03527"/>
    <w:rsid w:val="00A05808"/>
    <w:rsid w:val="00A1575B"/>
    <w:rsid w:val="00A23CDD"/>
    <w:rsid w:val="00A318CE"/>
    <w:rsid w:val="00A339B7"/>
    <w:rsid w:val="00A370EE"/>
    <w:rsid w:val="00A43251"/>
    <w:rsid w:val="00A5288C"/>
    <w:rsid w:val="00A63D56"/>
    <w:rsid w:val="00A90FD3"/>
    <w:rsid w:val="00A91306"/>
    <w:rsid w:val="00AA29E0"/>
    <w:rsid w:val="00AB0288"/>
    <w:rsid w:val="00AB1112"/>
    <w:rsid w:val="00AB3E33"/>
    <w:rsid w:val="00AB7501"/>
    <w:rsid w:val="00AC0185"/>
    <w:rsid w:val="00AC05CF"/>
    <w:rsid w:val="00AC6FED"/>
    <w:rsid w:val="00AC733A"/>
    <w:rsid w:val="00AC79C1"/>
    <w:rsid w:val="00AD214B"/>
    <w:rsid w:val="00AD4B26"/>
    <w:rsid w:val="00AE23AC"/>
    <w:rsid w:val="00AF09AE"/>
    <w:rsid w:val="00B00F0B"/>
    <w:rsid w:val="00B042F7"/>
    <w:rsid w:val="00B147BF"/>
    <w:rsid w:val="00B2770C"/>
    <w:rsid w:val="00B500F9"/>
    <w:rsid w:val="00B50D80"/>
    <w:rsid w:val="00B60BFA"/>
    <w:rsid w:val="00B61767"/>
    <w:rsid w:val="00B7205D"/>
    <w:rsid w:val="00B81E79"/>
    <w:rsid w:val="00B87BDE"/>
    <w:rsid w:val="00BA54E8"/>
    <w:rsid w:val="00BC143C"/>
    <w:rsid w:val="00BC5A14"/>
    <w:rsid w:val="00BC6C29"/>
    <w:rsid w:val="00BE115B"/>
    <w:rsid w:val="00BE38A4"/>
    <w:rsid w:val="00BF3BE6"/>
    <w:rsid w:val="00BF58EF"/>
    <w:rsid w:val="00C24969"/>
    <w:rsid w:val="00C26471"/>
    <w:rsid w:val="00C32795"/>
    <w:rsid w:val="00C3300F"/>
    <w:rsid w:val="00C3465B"/>
    <w:rsid w:val="00C57661"/>
    <w:rsid w:val="00C866ED"/>
    <w:rsid w:val="00C903D2"/>
    <w:rsid w:val="00C94418"/>
    <w:rsid w:val="00CA2437"/>
    <w:rsid w:val="00CB2373"/>
    <w:rsid w:val="00CB673A"/>
    <w:rsid w:val="00CC4441"/>
    <w:rsid w:val="00CC5731"/>
    <w:rsid w:val="00CD1CD5"/>
    <w:rsid w:val="00CD571D"/>
    <w:rsid w:val="00CE0330"/>
    <w:rsid w:val="00CE13D2"/>
    <w:rsid w:val="00CE7DAB"/>
    <w:rsid w:val="00CF0D96"/>
    <w:rsid w:val="00D11774"/>
    <w:rsid w:val="00D16C55"/>
    <w:rsid w:val="00D20F96"/>
    <w:rsid w:val="00D226BC"/>
    <w:rsid w:val="00D2271C"/>
    <w:rsid w:val="00D22A23"/>
    <w:rsid w:val="00D413F8"/>
    <w:rsid w:val="00D457D8"/>
    <w:rsid w:val="00D60EB7"/>
    <w:rsid w:val="00D61881"/>
    <w:rsid w:val="00D6198D"/>
    <w:rsid w:val="00D7120B"/>
    <w:rsid w:val="00D74FAD"/>
    <w:rsid w:val="00D762A4"/>
    <w:rsid w:val="00D84BD4"/>
    <w:rsid w:val="00D94420"/>
    <w:rsid w:val="00D948CC"/>
    <w:rsid w:val="00D97A82"/>
    <w:rsid w:val="00DA0ECE"/>
    <w:rsid w:val="00DB0017"/>
    <w:rsid w:val="00DC1630"/>
    <w:rsid w:val="00DC2996"/>
    <w:rsid w:val="00DC6F34"/>
    <w:rsid w:val="00DD6236"/>
    <w:rsid w:val="00DD7850"/>
    <w:rsid w:val="00DE52CB"/>
    <w:rsid w:val="00DF017C"/>
    <w:rsid w:val="00E202AF"/>
    <w:rsid w:val="00E25F5F"/>
    <w:rsid w:val="00E266F9"/>
    <w:rsid w:val="00E274C5"/>
    <w:rsid w:val="00E45F03"/>
    <w:rsid w:val="00E46996"/>
    <w:rsid w:val="00E5769E"/>
    <w:rsid w:val="00E610CF"/>
    <w:rsid w:val="00E6449A"/>
    <w:rsid w:val="00E764E7"/>
    <w:rsid w:val="00E822B4"/>
    <w:rsid w:val="00E86B5A"/>
    <w:rsid w:val="00EB0390"/>
    <w:rsid w:val="00EB5D9A"/>
    <w:rsid w:val="00ED0DEB"/>
    <w:rsid w:val="00EE7BBF"/>
    <w:rsid w:val="00EF12B0"/>
    <w:rsid w:val="00EF2FC7"/>
    <w:rsid w:val="00EF73EB"/>
    <w:rsid w:val="00F04BE5"/>
    <w:rsid w:val="00F17545"/>
    <w:rsid w:val="00F23181"/>
    <w:rsid w:val="00F372B7"/>
    <w:rsid w:val="00F56DA2"/>
    <w:rsid w:val="00F64B8F"/>
    <w:rsid w:val="00F675A5"/>
    <w:rsid w:val="00FB4D20"/>
    <w:rsid w:val="00FC246E"/>
    <w:rsid w:val="00FC623A"/>
    <w:rsid w:val="00FE1AF9"/>
    <w:rsid w:val="00FF245B"/>
    <w:rsid w:val="00FF4420"/>
    <w:rsid w:val="01595964"/>
    <w:rsid w:val="025465A1"/>
    <w:rsid w:val="03534868"/>
    <w:rsid w:val="04F630C9"/>
    <w:rsid w:val="05726918"/>
    <w:rsid w:val="0AA0268A"/>
    <w:rsid w:val="0B402AC3"/>
    <w:rsid w:val="0C984DD1"/>
    <w:rsid w:val="0F846BD5"/>
    <w:rsid w:val="12B22FF0"/>
    <w:rsid w:val="147751DE"/>
    <w:rsid w:val="18062A80"/>
    <w:rsid w:val="1A486935"/>
    <w:rsid w:val="1C105E54"/>
    <w:rsid w:val="1DC41A5D"/>
    <w:rsid w:val="1EAD7DE2"/>
    <w:rsid w:val="21096865"/>
    <w:rsid w:val="283A1239"/>
    <w:rsid w:val="2AA859FB"/>
    <w:rsid w:val="2CE028C5"/>
    <w:rsid w:val="30005BF5"/>
    <w:rsid w:val="316A1A88"/>
    <w:rsid w:val="326F6543"/>
    <w:rsid w:val="35F9591B"/>
    <w:rsid w:val="3611094A"/>
    <w:rsid w:val="39EE0357"/>
    <w:rsid w:val="3EC51F80"/>
    <w:rsid w:val="3EF271A7"/>
    <w:rsid w:val="41A001D5"/>
    <w:rsid w:val="42BD7529"/>
    <w:rsid w:val="46664D5C"/>
    <w:rsid w:val="478A04AB"/>
    <w:rsid w:val="4A897A08"/>
    <w:rsid w:val="51791E56"/>
    <w:rsid w:val="5237433C"/>
    <w:rsid w:val="52F7190B"/>
    <w:rsid w:val="52FB414E"/>
    <w:rsid w:val="54BF758A"/>
    <w:rsid w:val="54DE207A"/>
    <w:rsid w:val="55D200BA"/>
    <w:rsid w:val="58122010"/>
    <w:rsid w:val="5C9334ED"/>
    <w:rsid w:val="5E045632"/>
    <w:rsid w:val="6012121A"/>
    <w:rsid w:val="63305BC5"/>
    <w:rsid w:val="669748B3"/>
    <w:rsid w:val="67944B8F"/>
    <w:rsid w:val="6BA673F5"/>
    <w:rsid w:val="6BD35DB0"/>
    <w:rsid w:val="75B87A49"/>
    <w:rsid w:val="787567CF"/>
    <w:rsid w:val="792A4F07"/>
    <w:rsid w:val="79AD4283"/>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32E97"/>
    <w:pPr>
      <w:jc w:val="left"/>
    </w:pPr>
  </w:style>
  <w:style w:type="paragraph" w:styleId="a4">
    <w:name w:val="Balloon Text"/>
    <w:basedOn w:val="a"/>
    <w:link w:val="Char0"/>
    <w:uiPriority w:val="99"/>
    <w:semiHidden/>
    <w:unhideWhenUsed/>
    <w:qFormat/>
    <w:rsid w:val="00832E97"/>
    <w:rPr>
      <w:sz w:val="18"/>
      <w:szCs w:val="18"/>
    </w:rPr>
  </w:style>
  <w:style w:type="paragraph" w:styleId="a5">
    <w:name w:val="footer"/>
    <w:basedOn w:val="a"/>
    <w:link w:val="Char1"/>
    <w:uiPriority w:val="99"/>
    <w:unhideWhenUsed/>
    <w:qFormat/>
    <w:rsid w:val="00832E9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32E9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32E97"/>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832E97"/>
    <w:rPr>
      <w:b/>
      <w:bCs/>
    </w:rPr>
  </w:style>
  <w:style w:type="character" w:styleId="a9">
    <w:name w:val="annotation reference"/>
    <w:basedOn w:val="a0"/>
    <w:uiPriority w:val="99"/>
    <w:semiHidden/>
    <w:unhideWhenUsed/>
    <w:qFormat/>
    <w:rsid w:val="00832E97"/>
    <w:rPr>
      <w:sz w:val="21"/>
      <w:szCs w:val="21"/>
    </w:rPr>
  </w:style>
  <w:style w:type="character" w:customStyle="1" w:styleId="Char2">
    <w:name w:val="页眉 Char"/>
    <w:basedOn w:val="a0"/>
    <w:link w:val="a6"/>
    <w:uiPriority w:val="99"/>
    <w:qFormat/>
    <w:rsid w:val="00832E97"/>
    <w:rPr>
      <w:sz w:val="18"/>
      <w:szCs w:val="18"/>
    </w:rPr>
  </w:style>
  <w:style w:type="character" w:customStyle="1" w:styleId="Char1">
    <w:name w:val="页脚 Char"/>
    <w:basedOn w:val="a0"/>
    <w:link w:val="a5"/>
    <w:uiPriority w:val="99"/>
    <w:qFormat/>
    <w:rsid w:val="00832E97"/>
    <w:rPr>
      <w:sz w:val="18"/>
      <w:szCs w:val="18"/>
    </w:rPr>
  </w:style>
  <w:style w:type="paragraph" w:styleId="aa">
    <w:name w:val="List Paragraph"/>
    <w:basedOn w:val="a"/>
    <w:uiPriority w:val="34"/>
    <w:qFormat/>
    <w:rsid w:val="00832E97"/>
    <w:pPr>
      <w:ind w:firstLineChars="200" w:firstLine="420"/>
    </w:pPr>
  </w:style>
  <w:style w:type="character" w:customStyle="1" w:styleId="Char0">
    <w:name w:val="批注框文本 Char"/>
    <w:basedOn w:val="a0"/>
    <w:link w:val="a4"/>
    <w:uiPriority w:val="99"/>
    <w:semiHidden/>
    <w:qFormat/>
    <w:rsid w:val="00832E97"/>
    <w:rPr>
      <w:sz w:val="18"/>
      <w:szCs w:val="18"/>
    </w:rPr>
  </w:style>
  <w:style w:type="character" w:customStyle="1" w:styleId="Char">
    <w:name w:val="批注文字 Char"/>
    <w:basedOn w:val="a0"/>
    <w:link w:val="a3"/>
    <w:uiPriority w:val="99"/>
    <w:semiHidden/>
    <w:qFormat/>
    <w:rsid w:val="00832E97"/>
  </w:style>
  <w:style w:type="character" w:customStyle="1" w:styleId="Char3">
    <w:name w:val="批注主题 Char"/>
    <w:basedOn w:val="Char"/>
    <w:link w:val="a8"/>
    <w:uiPriority w:val="99"/>
    <w:semiHidden/>
    <w:qFormat/>
    <w:rsid w:val="00832E97"/>
    <w:rPr>
      <w:b/>
      <w:bCs/>
    </w:rPr>
  </w:style>
  <w:style w:type="paragraph" w:customStyle="1" w:styleId="1">
    <w:name w:val="修订1"/>
    <w:hidden/>
    <w:uiPriority w:val="99"/>
    <w:semiHidden/>
    <w:qFormat/>
    <w:rsid w:val="00832E97"/>
    <w:rPr>
      <w:rFonts w:asciiTheme="minorHAnsi" w:eastAsiaTheme="minorEastAsia" w:hAnsiTheme="minorHAnsi" w:cstheme="minorBidi"/>
      <w:kern w:val="2"/>
      <w:sz w:val="21"/>
      <w:szCs w:val="22"/>
    </w:rPr>
  </w:style>
  <w:style w:type="paragraph" w:customStyle="1" w:styleId="Default">
    <w:name w:val="Default"/>
    <w:qFormat/>
    <w:rsid w:val="00832E97"/>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3D2F27-FD6F-47E9-A70B-8EA55E9EF97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899</Characters>
  <Application>Microsoft Office Word</Application>
  <DocSecurity>0</DocSecurity>
  <Lines>40</Lines>
  <Paragraphs>23</Paragraphs>
  <ScaleCrop>false</ScaleCrop>
  <Company>http://sdwm.org</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吴海暄</cp:lastModifiedBy>
  <cp:revision>2</cp:revision>
  <cp:lastPrinted>2016-09-01T02:58:00Z</cp:lastPrinted>
  <dcterms:created xsi:type="dcterms:W3CDTF">2019-08-05T09:30:00Z</dcterms:created>
  <dcterms:modified xsi:type="dcterms:W3CDTF">2019-08-05T09:30:00Z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