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410" w:rsidRDefault="00C35942">
      <w:pPr>
        <w:spacing w:line="594" w:lineRule="exact"/>
        <w:rPr>
          <w:rFonts w:ascii="黑体" w:eastAsia="黑体" w:hAnsi="黑体" w:cs="Times New Roman"/>
          <w:sz w:val="32"/>
          <w:szCs w:val="32"/>
        </w:rPr>
      </w:pPr>
      <w:r>
        <w:rPr>
          <w:rFonts w:ascii="黑体" w:eastAsia="黑体" w:hAnsi="黑体" w:cs="Times New Roman" w:hint="eastAsia"/>
          <w:sz w:val="32"/>
          <w:szCs w:val="32"/>
        </w:rPr>
        <w:t>附件1</w:t>
      </w:r>
    </w:p>
    <w:p w:rsidR="00513410" w:rsidRDefault="00513410">
      <w:pPr>
        <w:spacing w:line="594" w:lineRule="exact"/>
        <w:rPr>
          <w:rFonts w:ascii="黑体" w:eastAsia="黑体" w:hAnsi="黑体" w:cs="Times New Roman"/>
          <w:sz w:val="32"/>
          <w:szCs w:val="32"/>
        </w:rPr>
      </w:pPr>
    </w:p>
    <w:p w:rsidR="00513410" w:rsidRDefault="00C35942">
      <w:pPr>
        <w:spacing w:line="594" w:lineRule="exact"/>
        <w:jc w:val="center"/>
        <w:rPr>
          <w:rFonts w:ascii="方正小标宋简体" w:eastAsia="方正小标宋简体" w:hAnsi="Calibri" w:cs="Times New Roman"/>
          <w:spacing w:val="-12"/>
          <w:sz w:val="44"/>
          <w:szCs w:val="44"/>
        </w:rPr>
      </w:pPr>
      <w:r>
        <w:rPr>
          <w:rFonts w:ascii="方正小标宋简体" w:eastAsia="方正小标宋简体" w:hAnsi="Calibri" w:cs="Times New Roman" w:hint="eastAsia"/>
          <w:spacing w:val="-12"/>
          <w:sz w:val="44"/>
          <w:szCs w:val="44"/>
        </w:rPr>
        <w:t>部分不合格项目的小知识</w:t>
      </w:r>
    </w:p>
    <w:p w:rsidR="00513410" w:rsidRDefault="00513410">
      <w:pPr>
        <w:spacing w:line="594" w:lineRule="exact"/>
        <w:jc w:val="center"/>
        <w:rPr>
          <w:rFonts w:ascii="方正小标宋简体" w:eastAsia="方正小标宋简体" w:hAnsi="Calibri" w:cs="Times New Roman"/>
          <w:spacing w:val="-12"/>
          <w:sz w:val="44"/>
          <w:szCs w:val="44"/>
        </w:rPr>
      </w:pPr>
    </w:p>
    <w:p w:rsidR="00513410" w:rsidRDefault="00C35942">
      <w:pPr>
        <w:spacing w:line="594" w:lineRule="exact"/>
        <w:ind w:firstLineChars="200" w:firstLine="640"/>
        <w:rPr>
          <w:rFonts w:ascii="黑体" w:eastAsia="黑体" w:hAnsi="黑体" w:cs="Times New Roman"/>
          <w:sz w:val="32"/>
          <w:szCs w:val="32"/>
        </w:rPr>
      </w:pPr>
      <w:r>
        <w:rPr>
          <w:rFonts w:ascii="黑体" w:eastAsia="黑体" w:hAnsi="黑体" w:cs="Times New Roman"/>
          <w:sz w:val="32"/>
          <w:szCs w:val="32"/>
        </w:rPr>
        <w:t>一、菌落总数</w:t>
      </w:r>
    </w:p>
    <w:p w:rsidR="00513410" w:rsidRDefault="00C35942">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菌落总数是指示性微生物指标，并非致病菌指标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主要用来评价食品清洁度，反映食品在生产过程中是否符合卫生要求。《食品安全国家标准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食用淀粉》（</w:t>
      </w:r>
      <w:r>
        <w:rPr>
          <w:rFonts w:ascii="Times New Roman" w:eastAsia="仿宋_GB2312" w:hAnsi="Times New Roman" w:cs="Times New Roman"/>
          <w:sz w:val="32"/>
          <w:szCs w:val="32"/>
        </w:rPr>
        <w:t>GB 31637</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）中规定，食用淀粉一批样品的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次检测结果均不得超过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5</w:t>
      </w:r>
      <w:r>
        <w:rPr>
          <w:rFonts w:ascii="Times New Roman" w:eastAsia="仿宋_GB2312" w:hAnsi="Times New Roman" w:cs="Times New Roman"/>
          <w:sz w:val="32"/>
          <w:szCs w:val="32"/>
        </w:rPr>
        <w:t xml:space="preserve"> CFU/g</w:t>
      </w:r>
      <w:r>
        <w:rPr>
          <w:rFonts w:ascii="Times New Roman" w:eastAsia="仿宋_GB2312" w:hAnsi="Times New Roman" w:cs="Times New Roman"/>
          <w:sz w:val="32"/>
          <w:szCs w:val="32"/>
        </w:rPr>
        <w:t>且至少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次检测结果不得超过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 xml:space="preserve">4 </w:t>
      </w:r>
      <w:r>
        <w:rPr>
          <w:rFonts w:ascii="Times New Roman" w:eastAsia="仿宋_GB2312" w:hAnsi="Times New Roman" w:cs="Times New Roman"/>
          <w:sz w:val="32"/>
          <w:szCs w:val="32"/>
        </w:rPr>
        <w:t>CFU/g</w:t>
      </w:r>
      <w:r>
        <w:rPr>
          <w:rFonts w:ascii="Times New Roman" w:eastAsia="仿宋_GB2312" w:hAnsi="Times New Roman" w:cs="Times New Roman"/>
          <w:sz w:val="32"/>
          <w:szCs w:val="32"/>
        </w:rPr>
        <w:t>。菌落总数超标的原因，可能是原料初始菌落数较高，或者个别企业可能未按要求严格控制生产加工过程的卫生条件，包装容器、器皿清洗消毒不到位，还有可能与产品包装密封不严，储运温度等条件控制不当等有关。</w:t>
      </w:r>
    </w:p>
    <w:p w:rsidR="00513410" w:rsidRDefault="00C35942">
      <w:pPr>
        <w:spacing w:line="594"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、孔雀石绿</w:t>
      </w:r>
    </w:p>
    <w:p w:rsidR="00513410" w:rsidRDefault="00C35942">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孔雀石绿属于有毒的三苯甲烷类化学物，既是染料，也是杀真菌、细菌、寄生虫的药物。《动物性食品中兽药最高残留限量》（农业部公告第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号）中规定，孔雀石绿为禁止使用的药物，在动物性食品中不得检出。孔雀石绿具有潜在致癌、致畸、致突变的作用。长期食用检出孔雀石绿的食品，可能会对人体健康有一定影响。</w:t>
      </w:r>
    </w:p>
    <w:p w:rsidR="00513410" w:rsidRDefault="00C35942">
      <w:pPr>
        <w:spacing w:line="594" w:lineRule="exact"/>
        <w:ind w:firstLineChars="200" w:firstLine="640"/>
        <w:rPr>
          <w:rFonts w:ascii="黑体" w:eastAsia="黑体" w:hAnsi="黑体" w:cs="Times New Roman"/>
          <w:sz w:val="32"/>
          <w:szCs w:val="32"/>
        </w:rPr>
      </w:pPr>
      <w:r>
        <w:rPr>
          <w:rFonts w:ascii="黑体" w:eastAsia="黑体" w:hAnsi="黑体" w:cs="Times New Roman"/>
          <w:sz w:val="32"/>
          <w:szCs w:val="32"/>
        </w:rPr>
        <w:t>三、氯霉素</w:t>
      </w:r>
    </w:p>
    <w:p w:rsidR="00513410" w:rsidRDefault="00C35942">
      <w:pPr>
        <w:spacing w:line="594" w:lineRule="exact"/>
        <w:ind w:firstLineChars="200" w:firstLine="640"/>
        <w:rPr>
          <w:rFonts w:ascii="Times New Roman" w:eastAsia="仿宋_GB2312" w:hAnsi="Times New Roman" w:cs="Times New Roman"/>
          <w:spacing w:val="-12"/>
          <w:sz w:val="32"/>
          <w:szCs w:val="32"/>
        </w:rPr>
      </w:pPr>
      <w:r>
        <w:rPr>
          <w:rFonts w:ascii="Times New Roman" w:eastAsia="仿宋_GB2312" w:hAnsi="Times New Roman" w:cs="Times New Roman"/>
          <w:sz w:val="32"/>
          <w:szCs w:val="32"/>
        </w:rPr>
        <w:t>氯霉素是一种杀菌剂，也是高效广谱的抗生素，对革兰</w:t>
      </w:r>
      <w:r>
        <w:rPr>
          <w:rFonts w:ascii="Times New Roman" w:eastAsia="仿宋_GB2312" w:hAnsi="Times New Roman" w:cs="Times New Roman"/>
          <w:sz w:val="32"/>
          <w:szCs w:val="32"/>
        </w:rPr>
        <w:lastRenderedPageBreak/>
        <w:t>氏阳性菌和革兰氏阴性菌均有较好的抑制作用。《动物性食品中兽药最高残留限量》（农业部公告第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号）中规定，氯霉素为禁止使用的药物，在动物性食品中不得检出。长期食用检出氯霉素的食品可能引起肠道菌群失调，导致消化机能紊乱。人体过量摄入氯霉素可</w:t>
      </w:r>
      <w:r>
        <w:rPr>
          <w:rFonts w:ascii="Times New Roman" w:eastAsia="仿宋_GB2312" w:hAnsi="Times New Roman" w:cs="Times New Roman" w:hint="eastAsia"/>
          <w:sz w:val="32"/>
          <w:szCs w:val="32"/>
        </w:rPr>
        <w:t>能</w:t>
      </w:r>
      <w:r>
        <w:rPr>
          <w:rFonts w:ascii="Times New Roman" w:eastAsia="仿宋_GB2312" w:hAnsi="Times New Roman" w:cs="Times New Roman"/>
          <w:sz w:val="32"/>
          <w:szCs w:val="32"/>
        </w:rPr>
        <w:t>引起人肝脏和骨髓造血机能的损害，导致再生障碍性贫血和血小板减少、肝损伤等健康危害。</w:t>
      </w:r>
    </w:p>
    <w:p w:rsidR="00513410" w:rsidRDefault="00C35942">
      <w:pPr>
        <w:spacing w:line="594"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Pr>
          <w:rFonts w:ascii="黑体" w:eastAsia="黑体" w:hAnsi="黑体" w:cs="Times New Roman"/>
          <w:sz w:val="32"/>
          <w:szCs w:val="32"/>
        </w:rPr>
        <w:t>、氧氟沙星</w:t>
      </w:r>
    </w:p>
    <w:p w:rsidR="00513410" w:rsidRDefault="00C35942">
      <w:pPr>
        <w:widowControl/>
        <w:spacing w:line="59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氧氟沙星属于氟喹诺酮类药物，因抗菌谱广、抗菌活性强等曾被广泛用于畜禽细菌性疾病的治疗和预防。</w:t>
      </w:r>
      <w:r>
        <w:rPr>
          <w:rFonts w:ascii="Times New Roman" w:eastAsia="仿宋_GB2312" w:hAnsi="Times New Roman" w:cs="Times New Roman"/>
          <w:sz w:val="32"/>
          <w:szCs w:val="32"/>
        </w:rPr>
        <w:t>《发布在食品动物中停止使用洛美沙星、培氟沙星、氧氟沙星、诺氟沙星</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种兽药的决定》（农业部公告第</w:t>
      </w:r>
      <w:r>
        <w:rPr>
          <w:rFonts w:ascii="Times New Roman" w:eastAsia="仿宋_GB2312" w:hAnsi="Times New Roman" w:cs="Times New Roman"/>
          <w:sz w:val="32"/>
          <w:szCs w:val="32"/>
        </w:rPr>
        <w:t>2292</w:t>
      </w:r>
      <w:r>
        <w:rPr>
          <w:rFonts w:ascii="Times New Roman" w:eastAsia="仿宋_GB2312" w:hAnsi="Times New Roman" w:cs="Times New Roman"/>
          <w:sz w:val="32"/>
          <w:szCs w:val="32"/>
        </w:rPr>
        <w:t>号）</w:t>
      </w:r>
      <w:r>
        <w:rPr>
          <w:rFonts w:ascii="Times New Roman" w:eastAsia="仿宋_GB2312" w:hAnsi="Times New Roman" w:cs="Times New Roman"/>
          <w:kern w:val="0"/>
          <w:sz w:val="32"/>
          <w:szCs w:val="32"/>
        </w:rPr>
        <w:t>中</w:t>
      </w:r>
      <w:r>
        <w:rPr>
          <w:rFonts w:ascii="Times New Roman" w:eastAsia="仿宋_GB2312" w:hAnsi="Times New Roman" w:cs="Times New Roman"/>
          <w:sz w:val="32"/>
          <w:szCs w:val="32"/>
        </w:rPr>
        <w:t>规定，在食品动物中停止使用</w:t>
      </w:r>
      <w:r>
        <w:rPr>
          <w:rFonts w:ascii="Times New Roman" w:eastAsia="仿宋_GB2312" w:hAnsi="Times New Roman" w:cs="Times New Roman"/>
          <w:kern w:val="0"/>
          <w:sz w:val="32"/>
          <w:szCs w:val="32"/>
        </w:rPr>
        <w:t>氧氟沙星（动物性食品中不得检出）。</w:t>
      </w:r>
      <w:r>
        <w:rPr>
          <w:rFonts w:ascii="Times New Roman" w:eastAsia="仿宋_GB2312" w:hAnsi="Times New Roman" w:cs="Times New Roman"/>
          <w:sz w:val="32"/>
          <w:szCs w:val="32"/>
        </w:rPr>
        <w:t>氧氟沙星残留在人体中蓄积，可能引起人体的耐药性。长期摄入检出氧氟沙星的食品，可能会引起轻度胃肠道刺激或不适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头痛、头晕、睡眠不良等症状，</w:t>
      </w:r>
      <w:r>
        <w:rPr>
          <w:rFonts w:ascii="Times New Roman" w:eastAsia="仿宋_GB2312" w:hAnsi="Times New Roman" w:cs="Times New Roman" w:hint="eastAsia"/>
          <w:sz w:val="32"/>
          <w:szCs w:val="32"/>
        </w:rPr>
        <w:t>若大量摄入还可能引起肝损害</w:t>
      </w:r>
      <w:r>
        <w:rPr>
          <w:rFonts w:ascii="Times New Roman" w:eastAsia="仿宋_GB2312" w:hAnsi="Times New Roman" w:cs="Times New Roman"/>
          <w:sz w:val="32"/>
          <w:szCs w:val="32"/>
        </w:rPr>
        <w:t>。</w:t>
      </w:r>
    </w:p>
    <w:p w:rsidR="00513410" w:rsidRDefault="00C35942">
      <w:pPr>
        <w:spacing w:line="594"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Pr>
          <w:rFonts w:ascii="黑体" w:eastAsia="黑体" w:hAnsi="黑体" w:cs="Times New Roman"/>
          <w:sz w:val="32"/>
          <w:szCs w:val="32"/>
        </w:rPr>
        <w:t>、恩诺沙星（以恩诺沙星与环丙沙星之和计）</w:t>
      </w:r>
    </w:p>
    <w:p w:rsidR="00513410" w:rsidRDefault="00C35942">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恩诺沙星属于氟喹诺酮类药物，是一类人工合成的广谱抗菌药，用于治疗动物的皮肤感染、呼吸道感染等，是动物专属用药。《动物性食品中兽药最高残留限量》（农业部公告第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号）中规定，恩诺沙星（以恩诺沙星和环丙沙星之和计）可用于牛、羊、猪、兔、禽等食用畜禽及其他动物（在</w:t>
      </w:r>
      <w:r>
        <w:rPr>
          <w:rFonts w:ascii="Times New Roman" w:eastAsia="仿宋_GB2312" w:hAnsi="Times New Roman" w:cs="Times New Roman"/>
          <w:sz w:val="32"/>
          <w:szCs w:val="32"/>
        </w:rPr>
        <w:lastRenderedPageBreak/>
        <w:t>牛、禽和其他动物的肌肉中的最高残留限量为</w:t>
      </w:r>
      <w:r>
        <w:rPr>
          <w:rFonts w:ascii="Times New Roman" w:eastAsia="仿宋_GB2312" w:hAnsi="Times New Roman" w:cs="Times New Roman"/>
          <w:sz w:val="32"/>
          <w:szCs w:val="32"/>
        </w:rPr>
        <w:t>100 μg/kg</w:t>
      </w:r>
      <w:r>
        <w:rPr>
          <w:rFonts w:ascii="Times New Roman" w:eastAsia="仿宋_GB2312" w:hAnsi="Times New Roman" w:cs="Times New Roman"/>
          <w:sz w:val="32"/>
          <w:szCs w:val="32"/>
        </w:rPr>
        <w:t>），在产蛋鸡中禁用（鸡蛋中不得检出）。长期摄入</w:t>
      </w:r>
      <w:r>
        <w:rPr>
          <w:rFonts w:ascii="Times New Roman" w:eastAsia="仿宋_GB2312" w:hAnsi="Times New Roman" w:cs="Times New Roman" w:hint="eastAsia"/>
          <w:sz w:val="32"/>
          <w:szCs w:val="32"/>
        </w:rPr>
        <w:t>检出</w:t>
      </w:r>
      <w:r>
        <w:rPr>
          <w:rFonts w:ascii="Times New Roman" w:eastAsia="仿宋_GB2312" w:hAnsi="Times New Roman" w:cs="Times New Roman"/>
          <w:sz w:val="32"/>
          <w:szCs w:val="32"/>
        </w:rPr>
        <w:t>恩诺沙星的动物性食品，可能会引起轻度胃肠道刺激或不适、头痛、头晕、睡眠不良等症状，过多摄入还可能引起肝损害。</w:t>
      </w:r>
    </w:p>
    <w:p w:rsidR="00513410" w:rsidRDefault="00C35942">
      <w:pPr>
        <w:spacing w:line="594"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六</w:t>
      </w:r>
      <w:r>
        <w:rPr>
          <w:rFonts w:ascii="黑体" w:eastAsia="黑体" w:hAnsi="黑体" w:cs="Times New Roman"/>
          <w:sz w:val="32"/>
          <w:szCs w:val="32"/>
        </w:rPr>
        <w:t>、苯甲酸及其钠盐</w:t>
      </w:r>
    </w:p>
    <w:p w:rsidR="00513410" w:rsidRDefault="00C35942">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苯甲酸及其钠盐是食品工业中常见的一种防腐剂，对霉菌、酵母和细菌有较好的抑制作用。《食品安全国家标准</w:t>
      </w:r>
      <w:r>
        <w:rPr>
          <w:rFonts w:ascii="Times New Roman" w:eastAsia="仿宋_GB2312" w:hAnsi="Times New Roman" w:cs="Times New Roman"/>
          <w:sz w:val="32"/>
          <w:szCs w:val="32"/>
        </w:rPr>
        <w:t> </w:t>
      </w:r>
      <w:r>
        <w:rPr>
          <w:rFonts w:ascii="Times New Roman" w:eastAsia="仿宋_GB2312" w:hAnsi="Times New Roman" w:cs="Times New Roman"/>
          <w:sz w:val="32"/>
          <w:szCs w:val="32"/>
        </w:rPr>
        <w:t>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）中规定，酱卤肉制品中不得使用苯甲酸及其钠盐。酱卤肉制品中苯甲酸及其钠盐不合格</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原因，可能是企业为延长产品保质期或者为弥补产品生产中卫生条件不佳而超范围使用。</w:t>
      </w:r>
    </w:p>
    <w:p w:rsidR="00513410" w:rsidRDefault="00C35942">
      <w:pPr>
        <w:spacing w:line="594"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w:t>
      </w:r>
      <w:r>
        <w:rPr>
          <w:rFonts w:ascii="黑体" w:eastAsia="黑体" w:hAnsi="黑体" w:cs="Times New Roman"/>
          <w:sz w:val="32"/>
          <w:szCs w:val="32"/>
        </w:rPr>
        <w:t>、过氧化值（以脂肪计）</w:t>
      </w:r>
    </w:p>
    <w:p w:rsidR="00513410" w:rsidRDefault="00C35942">
      <w:pPr>
        <w:spacing w:line="594"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过氧化值主要反映食品中油脂是否氧化变质。随着油脂氧化，过氧化值会逐步升高，虽一般不会对人体的健康产生损害，但严重时</w:t>
      </w:r>
      <w:r>
        <w:rPr>
          <w:rFonts w:ascii="Times New Roman" w:eastAsia="仿宋_GB2312" w:hAnsi="Times New Roman" w:cs="Times New Roman" w:hint="eastAsia"/>
          <w:kern w:val="0"/>
          <w:sz w:val="32"/>
          <w:szCs w:val="32"/>
        </w:rPr>
        <w:t>可能</w:t>
      </w:r>
      <w:r>
        <w:rPr>
          <w:rFonts w:ascii="Times New Roman" w:eastAsia="仿宋_GB2312" w:hAnsi="Times New Roman" w:cs="Times New Roman"/>
          <w:kern w:val="0"/>
          <w:sz w:val="32"/>
          <w:szCs w:val="32"/>
        </w:rPr>
        <w:t>会导致肠胃不适、腹泻等症状。《食品安全国家标准</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饼干》（</w:t>
      </w:r>
      <w:r>
        <w:rPr>
          <w:rFonts w:ascii="Times New Roman" w:eastAsia="仿宋_GB2312" w:hAnsi="Times New Roman" w:cs="Times New Roman"/>
          <w:kern w:val="0"/>
          <w:sz w:val="32"/>
          <w:szCs w:val="32"/>
        </w:rPr>
        <w:t>GB 7100</w:t>
      </w:r>
      <w:r>
        <w:rPr>
          <w:rFonts w:ascii="仿宋_GB2312" w:eastAsia="仿宋_GB2312" w:hAnsi="Times New Roman" w:cs="Times New Roman" w:hint="eastAsia"/>
          <w:kern w:val="0"/>
          <w:sz w:val="32"/>
          <w:szCs w:val="32"/>
        </w:rPr>
        <w:t>—</w:t>
      </w:r>
      <w:r>
        <w:rPr>
          <w:rFonts w:ascii="Times New Roman" w:eastAsia="仿宋_GB2312" w:hAnsi="Times New Roman" w:cs="Times New Roman"/>
          <w:kern w:val="0"/>
          <w:sz w:val="32"/>
          <w:szCs w:val="32"/>
        </w:rPr>
        <w:t>2015</w:t>
      </w:r>
      <w:r>
        <w:rPr>
          <w:rFonts w:ascii="Times New Roman" w:eastAsia="仿宋_GB2312" w:hAnsi="Times New Roman" w:cs="Times New Roman"/>
          <w:kern w:val="0"/>
          <w:sz w:val="32"/>
          <w:szCs w:val="32"/>
        </w:rPr>
        <w:t>）中规定，饼干中过氧化值（以脂肪计）的最大限量值为</w:t>
      </w:r>
      <w:r>
        <w:rPr>
          <w:rFonts w:ascii="Times New Roman" w:eastAsia="仿宋_GB2312" w:hAnsi="Times New Roman" w:cs="Times New Roman"/>
          <w:kern w:val="0"/>
          <w:sz w:val="32"/>
          <w:szCs w:val="32"/>
        </w:rPr>
        <w:t>0.25 g/100g</w:t>
      </w:r>
      <w:r>
        <w:rPr>
          <w:rFonts w:ascii="Times New Roman" w:eastAsia="仿宋_GB2312" w:hAnsi="Times New Roman" w:cs="Times New Roman"/>
          <w:kern w:val="0"/>
          <w:sz w:val="32"/>
          <w:szCs w:val="32"/>
        </w:rPr>
        <w:t>。饼干中过氧化值超标的原因，可能是产品用油</w:t>
      </w:r>
      <w:r>
        <w:rPr>
          <w:rFonts w:ascii="Times New Roman" w:eastAsia="仿宋_GB2312" w:hAnsi="Times New Roman" w:cs="Times New Roman"/>
          <w:sz w:val="32"/>
          <w:szCs w:val="32"/>
        </w:rPr>
        <w:t>已经变质，或者产品在储存过程中环境条件控制不当，导致油脂酸败；也可能是原料储存不当，</w:t>
      </w:r>
      <w:r>
        <w:rPr>
          <w:rFonts w:ascii="Times New Roman" w:eastAsia="仿宋_GB2312" w:hAnsi="Times New Roman" w:cs="Times New Roman" w:hint="eastAsia"/>
          <w:sz w:val="32"/>
          <w:szCs w:val="32"/>
        </w:rPr>
        <w:t>导致</w:t>
      </w:r>
      <w:r>
        <w:rPr>
          <w:rFonts w:ascii="Times New Roman" w:eastAsia="仿宋_GB2312" w:hAnsi="Times New Roman" w:cs="Times New Roman"/>
          <w:sz w:val="32"/>
          <w:szCs w:val="32"/>
        </w:rPr>
        <w:t>原料中的脂肪氧化，使得终产品油脂氧化。</w:t>
      </w:r>
    </w:p>
    <w:p w:rsidR="00513410" w:rsidRDefault="00C35942">
      <w:pPr>
        <w:spacing w:line="594"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sz w:val="32"/>
          <w:szCs w:val="32"/>
        </w:rPr>
        <w:t>、总钠</w:t>
      </w:r>
    </w:p>
    <w:p w:rsidR="00513410" w:rsidRDefault="00C35942">
      <w:pPr>
        <w:autoSpaceDE w:val="0"/>
        <w:autoSpaceDN w:val="0"/>
        <w:adjustRightInd w:val="0"/>
        <w:spacing w:line="59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总钠是人体中一种重要的无机元素。《食品安全国家标准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婴幼儿罐装辅助食品》（</w:t>
      </w:r>
      <w:r>
        <w:rPr>
          <w:rFonts w:ascii="Times New Roman" w:eastAsia="仿宋_GB2312" w:hAnsi="Times New Roman" w:cs="Times New Roman"/>
          <w:sz w:val="32"/>
          <w:szCs w:val="32"/>
        </w:rPr>
        <w:t>GB 10770</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）中规定，婴幼</w:t>
      </w:r>
      <w:r>
        <w:rPr>
          <w:rFonts w:ascii="Times New Roman" w:eastAsia="仿宋_GB2312" w:hAnsi="Times New Roman" w:cs="Times New Roman"/>
          <w:sz w:val="32"/>
          <w:szCs w:val="32"/>
        </w:rPr>
        <w:lastRenderedPageBreak/>
        <w:t>儿罐装辅助食品中总钠含量最大值为</w:t>
      </w:r>
      <w:r>
        <w:rPr>
          <w:rFonts w:ascii="Times New Roman" w:eastAsia="仿宋_GB2312" w:hAnsi="Times New Roman" w:cs="Times New Roman"/>
          <w:sz w:val="32"/>
          <w:szCs w:val="32"/>
        </w:rPr>
        <w:t>200 mg/100g</w:t>
      </w:r>
      <w:r>
        <w:rPr>
          <w:rFonts w:ascii="Times New Roman" w:eastAsia="仿宋_GB2312" w:hAnsi="Times New Roman" w:cs="Times New Roman"/>
          <w:sz w:val="32"/>
          <w:szCs w:val="32"/>
        </w:rPr>
        <w:t>，且《食品安全国家标准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预包装特殊膳食用食品标签》（</w:t>
      </w:r>
      <w:r>
        <w:rPr>
          <w:rFonts w:ascii="Times New Roman" w:eastAsia="仿宋_GB2312" w:hAnsi="Times New Roman" w:cs="Times New Roman"/>
          <w:sz w:val="32"/>
          <w:szCs w:val="32"/>
        </w:rPr>
        <w:t>GB 13432</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sz w:val="32"/>
          <w:szCs w:val="32"/>
        </w:rPr>
        <w:t>）中规定，营养素含量不得低于标签明示值的</w:t>
      </w:r>
      <w:r>
        <w:rPr>
          <w:rFonts w:ascii="Times New Roman" w:eastAsia="仿宋_GB2312" w:hAnsi="Times New Roman" w:cs="Times New Roman"/>
          <w:sz w:val="32"/>
          <w:szCs w:val="32"/>
        </w:rPr>
        <w:t>80 %</w:t>
      </w:r>
      <w:r>
        <w:rPr>
          <w:rFonts w:ascii="Times New Roman" w:eastAsia="仿宋_GB2312" w:hAnsi="Times New Roman" w:cs="Times New Roman"/>
          <w:sz w:val="32"/>
          <w:szCs w:val="32"/>
        </w:rPr>
        <w:t>。特殊膳食食品中总钠不达标</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原因，可能是原辅料质量控制不严，生产加工过程中搅拌不均匀或企业未按标签明示值的要求进行添加等。</w:t>
      </w:r>
      <w:bookmarkStart w:id="0" w:name="_GoBack"/>
      <w:bookmarkEnd w:id="0"/>
    </w:p>
    <w:sectPr w:rsidR="00513410" w:rsidSect="005134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472F"/>
    <w:rsid w:val="000B2CCA"/>
    <w:rsid w:val="002B3EEE"/>
    <w:rsid w:val="00311BA3"/>
    <w:rsid w:val="0039688B"/>
    <w:rsid w:val="003C49FD"/>
    <w:rsid w:val="003D320A"/>
    <w:rsid w:val="003E28BA"/>
    <w:rsid w:val="004D18BF"/>
    <w:rsid w:val="00513410"/>
    <w:rsid w:val="0069195C"/>
    <w:rsid w:val="006F0612"/>
    <w:rsid w:val="006F7039"/>
    <w:rsid w:val="006F7B72"/>
    <w:rsid w:val="0077472F"/>
    <w:rsid w:val="008627EA"/>
    <w:rsid w:val="00876277"/>
    <w:rsid w:val="00880DC8"/>
    <w:rsid w:val="008C20E4"/>
    <w:rsid w:val="008E463E"/>
    <w:rsid w:val="008F71BB"/>
    <w:rsid w:val="00977AB0"/>
    <w:rsid w:val="009B6039"/>
    <w:rsid w:val="009C5E8C"/>
    <w:rsid w:val="00A33E00"/>
    <w:rsid w:val="00A8028B"/>
    <w:rsid w:val="00A90756"/>
    <w:rsid w:val="00AE250B"/>
    <w:rsid w:val="00C03CFE"/>
    <w:rsid w:val="00C35942"/>
    <w:rsid w:val="00C52A84"/>
    <w:rsid w:val="00CE29BB"/>
    <w:rsid w:val="00D741FC"/>
    <w:rsid w:val="00DB5A87"/>
    <w:rsid w:val="00DC28C1"/>
    <w:rsid w:val="00E55521"/>
    <w:rsid w:val="00F157B5"/>
    <w:rsid w:val="00F958C4"/>
    <w:rsid w:val="6C8957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4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13410"/>
    <w:pPr>
      <w:tabs>
        <w:tab w:val="center" w:pos="4153"/>
        <w:tab w:val="right" w:pos="8306"/>
      </w:tabs>
      <w:snapToGrid w:val="0"/>
      <w:jc w:val="left"/>
    </w:pPr>
    <w:rPr>
      <w:sz w:val="18"/>
      <w:szCs w:val="18"/>
    </w:rPr>
  </w:style>
  <w:style w:type="paragraph" w:styleId="a4">
    <w:name w:val="header"/>
    <w:basedOn w:val="a"/>
    <w:link w:val="Char0"/>
    <w:uiPriority w:val="99"/>
    <w:unhideWhenUsed/>
    <w:rsid w:val="005134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13410"/>
    <w:rPr>
      <w:sz w:val="18"/>
      <w:szCs w:val="18"/>
    </w:rPr>
  </w:style>
  <w:style w:type="character" w:customStyle="1" w:styleId="Char">
    <w:name w:val="页脚 Char"/>
    <w:basedOn w:val="a0"/>
    <w:link w:val="a3"/>
    <w:uiPriority w:val="99"/>
    <w:qFormat/>
    <w:rsid w:val="0051341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253</Words>
  <Characters>1443</Characters>
  <Application>Microsoft Office Word</Application>
  <DocSecurity>0</DocSecurity>
  <Lines>12</Lines>
  <Paragraphs>3</Paragraphs>
  <ScaleCrop>false</ScaleCrop>
  <Company>SAMR</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高晗</cp:lastModifiedBy>
  <cp:revision>2</cp:revision>
  <dcterms:created xsi:type="dcterms:W3CDTF">2019-09-09T06:58:00Z</dcterms:created>
  <dcterms:modified xsi:type="dcterms:W3CDTF">2019-09-09T06:58:00Z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