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spacing w:val="-12"/>
          <w:sz w:val="44"/>
          <w:szCs w:val="44"/>
        </w:rPr>
      </w:pPr>
      <w:bookmarkStart w:id="0" w:name="_GoBack"/>
      <w:bookmarkEnd w:id="0"/>
      <w:r>
        <w:rPr>
          <w:rFonts w:ascii="Times New Roman" w:hAnsi="Times New Roman" w:eastAsia="黑体"/>
          <w:sz w:val="32"/>
          <w:szCs w:val="32"/>
        </w:rPr>
        <w:t>附件</w:t>
      </w:r>
      <w:r>
        <w:rPr>
          <w:rFonts w:hint="eastAsia" w:ascii="Times New Roman" w:hAnsi="Times New Roman" w:eastAsia="黑体"/>
          <w:sz w:val="32"/>
          <w:szCs w:val="32"/>
        </w:rPr>
        <w:t>1</w:t>
      </w:r>
    </w:p>
    <w:p>
      <w:pPr>
        <w:spacing w:line="594" w:lineRule="exact"/>
        <w:jc w:val="center"/>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部分不合格检验项目小知识</w:t>
      </w:r>
    </w:p>
    <w:p>
      <w:pPr>
        <w:spacing w:line="594" w:lineRule="exact"/>
        <w:jc w:val="center"/>
        <w:rPr>
          <w:rFonts w:ascii="Times New Roman" w:hAnsi="Times New Roman" w:eastAsia="方正小标宋简体"/>
          <w:spacing w:val="-12"/>
          <w:sz w:val="44"/>
          <w:szCs w:val="44"/>
        </w:rPr>
      </w:pP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一、大肠菌群</w:t>
      </w:r>
    </w:p>
    <w:p>
      <w:pPr>
        <w:spacing w:line="59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w:t>
      </w:r>
      <w:r>
        <w:rPr>
          <w:rFonts w:ascii="Times New Roman" w:hAnsi="Times New Roman" w:eastAsia="仿宋_GB2312"/>
          <w:sz w:val="32"/>
          <w:szCs w:val="32"/>
        </w:rPr>
        <w:t>《</w:t>
      </w:r>
      <w:r>
        <w:rPr>
          <w:rFonts w:hint="eastAsia" w:ascii="Times New Roman" w:hAnsi="Times New Roman" w:eastAsia="仿宋_GB2312"/>
          <w:sz w:val="32"/>
          <w:szCs w:val="32"/>
        </w:rPr>
        <w:t>食品安全国家标准 饼干</w:t>
      </w:r>
      <w:r>
        <w:rPr>
          <w:rFonts w:ascii="Times New Roman" w:hAnsi="Times New Roman" w:eastAsia="仿宋_GB2312"/>
          <w:sz w:val="32"/>
          <w:szCs w:val="32"/>
        </w:rPr>
        <w:t>》（</w:t>
      </w:r>
      <w:r>
        <w:rPr>
          <w:rFonts w:hint="eastAsia" w:ascii="Times New Roman" w:hAnsi="Times New Roman" w:eastAsia="仿宋_GB2312"/>
          <w:sz w:val="32"/>
          <w:szCs w:val="32"/>
        </w:rPr>
        <w:t>GB 7100—</w:t>
      </w:r>
      <w:r>
        <w:rPr>
          <w:rFonts w:ascii="Times New Roman" w:hAnsi="Times New Roman" w:eastAsia="仿宋_GB2312"/>
          <w:sz w:val="32"/>
          <w:szCs w:val="32"/>
        </w:rPr>
        <w:t>20</w:t>
      </w:r>
      <w:r>
        <w:rPr>
          <w:rFonts w:hint="eastAsia" w:ascii="Times New Roman" w:hAnsi="Times New Roman" w:eastAsia="仿宋_GB2312"/>
          <w:sz w:val="32"/>
          <w:szCs w:val="32"/>
        </w:rPr>
        <w:t>15</w:t>
      </w:r>
      <w:r>
        <w:rPr>
          <w:rFonts w:ascii="Times New Roman" w:hAnsi="Times New Roman" w:eastAsia="仿宋_GB2312"/>
          <w:sz w:val="32"/>
          <w:szCs w:val="32"/>
        </w:rPr>
        <w:t>）中规定，</w:t>
      </w:r>
      <w:r>
        <w:rPr>
          <w:rFonts w:hint="eastAsia" w:ascii="Times New Roman" w:hAnsi="Times New Roman" w:eastAsia="仿宋_GB2312"/>
          <w:sz w:val="32"/>
          <w:szCs w:val="32"/>
        </w:rPr>
        <w:t>饼干一个样品中</w:t>
      </w:r>
      <w:r>
        <w:rPr>
          <w:rFonts w:ascii="Times New Roman" w:hAnsi="Times New Roman" w:eastAsia="仿宋_GB2312"/>
          <w:sz w:val="32"/>
          <w:szCs w:val="32"/>
        </w:rPr>
        <w:t>大肠菌群的5</w:t>
      </w:r>
      <w:r>
        <w:rPr>
          <w:rFonts w:hint="eastAsia" w:ascii="Times New Roman" w:hAnsi="Times New Roman" w:eastAsia="仿宋_GB2312"/>
          <w:sz w:val="32"/>
          <w:szCs w:val="32"/>
        </w:rPr>
        <w:t>次</w:t>
      </w:r>
      <w:r>
        <w:rPr>
          <w:rFonts w:ascii="Times New Roman" w:hAnsi="Times New Roman" w:eastAsia="仿宋_GB2312"/>
          <w:sz w:val="32"/>
          <w:szCs w:val="32"/>
        </w:rPr>
        <w:t>检测结果均不得超过10</w:t>
      </w:r>
      <w:r>
        <w:rPr>
          <w:rFonts w:ascii="Times New Roman" w:hAnsi="Times New Roman" w:eastAsia="仿宋_GB2312"/>
          <w:sz w:val="32"/>
          <w:szCs w:val="32"/>
          <w:vertAlign w:val="superscript"/>
        </w:rPr>
        <w:t>2</w:t>
      </w:r>
      <w:r>
        <w:rPr>
          <w:rFonts w:ascii="Times New Roman" w:hAnsi="Times New Roman" w:eastAsia="仿宋_GB2312"/>
          <w:sz w:val="32"/>
          <w:szCs w:val="32"/>
        </w:rPr>
        <w:t>CFU/g，且至少3</w:t>
      </w:r>
      <w:r>
        <w:rPr>
          <w:rFonts w:hint="eastAsia" w:ascii="Times New Roman" w:hAnsi="Times New Roman" w:eastAsia="仿宋_GB2312"/>
          <w:sz w:val="32"/>
          <w:szCs w:val="32"/>
        </w:rPr>
        <w:t>个</w:t>
      </w:r>
      <w:r>
        <w:rPr>
          <w:rFonts w:ascii="Times New Roman" w:hAnsi="Times New Roman" w:eastAsia="仿宋_GB2312"/>
          <w:sz w:val="32"/>
          <w:szCs w:val="32"/>
        </w:rPr>
        <w:t>检测结果不得超过10CFU/g。</w:t>
      </w:r>
      <w:r>
        <w:rPr>
          <w:rFonts w:hint="eastAsia" w:ascii="Times New Roman" w:hAnsi="Times New Roman" w:eastAsia="仿宋_GB2312"/>
          <w:sz w:val="32"/>
          <w:szCs w:val="32"/>
        </w:rPr>
        <w:t>饼干中</w:t>
      </w:r>
      <w:r>
        <w:rPr>
          <w:rFonts w:ascii="Times New Roman" w:hAnsi="Times New Roman" w:eastAsia="仿宋_GB2312"/>
          <w:sz w:val="32"/>
          <w:szCs w:val="32"/>
        </w:rPr>
        <w:t>大肠菌群超标的原因</w:t>
      </w:r>
      <w:r>
        <w:rPr>
          <w:rFonts w:hint="eastAsia" w:ascii="Times New Roman" w:hAnsi="Times New Roman" w:eastAsia="仿宋_GB2312"/>
          <w:sz w:val="32"/>
          <w:szCs w:val="32"/>
        </w:rPr>
        <w:t>，</w:t>
      </w:r>
      <w:r>
        <w:rPr>
          <w:rFonts w:hint="default" w:ascii="Times New Roman" w:hAnsi="Times New Roman" w:eastAsia="仿宋_GB2312" w:cs="Times New Roman"/>
          <w:sz w:val="32"/>
          <w:szCs w:val="32"/>
        </w:rPr>
        <w:t>可能是产品的加工原料、包装材料受污染，也可能是产品在生产过程中受人员、工器具等的污染，还可能是灭菌工艺灭菌不彻底导致的。</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二、菌落总数</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sz w:val="32"/>
          <w:szCs w:val="32"/>
        </w:rPr>
        <w:t>《食品安全国家标准 饮料》（GB 7101—2015）</w:t>
      </w:r>
      <w:r>
        <w:rPr>
          <w:rFonts w:ascii="Times New Roman" w:hAnsi="Times New Roman" w:eastAsia="仿宋_GB2312"/>
          <w:sz w:val="32"/>
          <w:szCs w:val="32"/>
        </w:rPr>
        <w:t>中规定，</w:t>
      </w:r>
      <w:r>
        <w:rPr>
          <w:rFonts w:hint="eastAsia" w:ascii="Times New Roman" w:hAnsi="Times New Roman" w:eastAsia="仿宋_GB2312"/>
          <w:sz w:val="32"/>
          <w:szCs w:val="32"/>
        </w:rPr>
        <w:t>液体饮料一个样品的5次检验结果均不得超过10</w:t>
      </w:r>
      <w:r>
        <w:rPr>
          <w:rFonts w:hint="eastAsia" w:ascii="Times New Roman" w:hAnsi="Times New Roman" w:eastAsia="仿宋_GB2312"/>
          <w:sz w:val="32"/>
          <w:szCs w:val="32"/>
          <w:vertAlign w:val="superscript"/>
        </w:rPr>
        <w:t>4</w:t>
      </w:r>
      <w:r>
        <w:rPr>
          <w:rFonts w:hint="eastAsia" w:ascii="Times New Roman" w:hAnsi="Times New Roman" w:eastAsia="仿宋_GB2312"/>
          <w:sz w:val="32"/>
          <w:szCs w:val="32"/>
        </w:rPr>
        <w:t>CFU/mL，且至少3次检测结果不超过10</w:t>
      </w:r>
      <w:r>
        <w:rPr>
          <w:rFonts w:hint="eastAsia" w:ascii="Times New Roman" w:hAnsi="Times New Roman" w:eastAsia="仿宋_GB2312"/>
          <w:sz w:val="32"/>
          <w:szCs w:val="32"/>
          <w:vertAlign w:val="superscript"/>
        </w:rPr>
        <w:t>2</w:t>
      </w:r>
      <w:r>
        <w:rPr>
          <w:rFonts w:hint="eastAsia" w:ascii="Times New Roman" w:hAnsi="Times New Roman" w:eastAsia="仿宋_GB2312"/>
          <w:sz w:val="32"/>
          <w:szCs w:val="32"/>
        </w:rPr>
        <w:t>CFU/mL。饮料中</w:t>
      </w:r>
      <w:r>
        <w:rPr>
          <w:rFonts w:ascii="Times New Roman" w:hAnsi="Times New Roman" w:eastAsia="仿宋_GB2312"/>
          <w:sz w:val="32"/>
          <w:szCs w:val="32"/>
        </w:rPr>
        <w:t>菌落总数超标</w:t>
      </w:r>
      <w:r>
        <w:rPr>
          <w:rFonts w:hint="eastAsia" w:ascii="Times New Roman" w:hAnsi="Times New Roman" w:eastAsia="仿宋_GB2312"/>
          <w:sz w:val="32"/>
          <w:szCs w:val="32"/>
        </w:rPr>
        <w:t>的原因，</w:t>
      </w:r>
      <w:r>
        <w:rPr>
          <w:rFonts w:ascii="Times New Roman" w:hAnsi="Times New Roman" w:eastAsia="仿宋_GB2312"/>
          <w:sz w:val="32"/>
          <w:szCs w:val="32"/>
        </w:rPr>
        <w:t>可能是企业未按要求严格控制生产加工过程的卫生条件，也可能与产品包装密封不严或储运条件不当等有关</w:t>
      </w:r>
      <w:r>
        <w:rPr>
          <w:rFonts w:hint="eastAsia" w:ascii="Times New Roman" w:hAnsi="Times New Roman" w:eastAsia="仿宋_GB2312"/>
          <w:sz w:val="32"/>
          <w:szCs w:val="32"/>
        </w:rPr>
        <w:t>。</w:t>
      </w:r>
    </w:p>
    <w:p>
      <w:pPr>
        <w:ind w:firstLine="592" w:firstLineChars="200"/>
        <w:rPr>
          <w:rFonts w:ascii="黑体" w:hAnsi="黑体" w:eastAsia="黑体"/>
          <w:spacing w:val="-12"/>
          <w:sz w:val="32"/>
          <w:szCs w:val="32"/>
        </w:rPr>
      </w:pPr>
      <w:r>
        <w:rPr>
          <w:rFonts w:hint="eastAsia" w:ascii="黑体" w:hAnsi="黑体" w:eastAsia="黑体"/>
          <w:spacing w:val="-12"/>
          <w:sz w:val="32"/>
          <w:szCs w:val="32"/>
        </w:rPr>
        <w:t>三、地塞米松</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地塞米松是一种人工合成的长效糖皮质激素，具有抗炎、抗毒素和抗过敏作用。长期食用地塞米松超标的食品，可能会在人体内蓄积，干扰人体的激素分泌体系和其它正常代谢。《食品安全国家标准 食品中兽药最大残留限量》（GB 31650—2019）中规定，地塞米松在猪肉中最大残留限量值为</w:t>
      </w:r>
      <w:r>
        <w:rPr>
          <w:rFonts w:ascii="Times New Roman" w:hAnsi="Times New Roman" w:eastAsia="仿宋_GB2312"/>
          <w:sz w:val="32"/>
          <w:szCs w:val="32"/>
        </w:rPr>
        <w:t>1.0μg/kg</w:t>
      </w:r>
      <w:r>
        <w:rPr>
          <w:rFonts w:hint="eastAsia" w:ascii="Times New Roman" w:hAnsi="Times New Roman" w:eastAsia="仿宋_GB2312"/>
          <w:sz w:val="32"/>
          <w:szCs w:val="32"/>
        </w:rPr>
        <w:t>。猪肉中地塞米松超标的原因，可能是在养殖过程中为快速控制疫病，违规加大用药量或不遵守休药期规定，</w:t>
      </w:r>
      <w:r>
        <w:rPr>
          <w:rFonts w:ascii="Times New Roman" w:hAnsi="Times New Roman" w:eastAsia="仿宋_GB2312"/>
          <w:sz w:val="32"/>
          <w:szCs w:val="32"/>
        </w:rPr>
        <w:t>致使上市销售产品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r>
        <w:rPr>
          <w:rFonts w:hint="eastAsia" w:ascii="Times New Roman" w:hAnsi="Times New Roman" w:eastAsia="仿宋_GB2312"/>
          <w:sz w:val="32"/>
          <w:szCs w:val="32"/>
        </w:rPr>
        <w:t>。</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四、水胺硫磷</w:t>
      </w:r>
    </w:p>
    <w:p>
      <w:pPr>
        <w:pStyle w:val="3"/>
        <w:widowControl/>
        <w:spacing w:beforeAutospacing="0" w:afterAutospacing="0" w:line="594" w:lineRule="exact"/>
        <w:ind w:firstLine="640" w:firstLineChars="200"/>
        <w:rPr>
          <w:rFonts w:ascii="Times New Roman" w:hAnsi="Times New Roman" w:eastAsia="仿宋_GB2312"/>
          <w:sz w:val="32"/>
          <w:szCs w:val="32"/>
        </w:rPr>
      </w:pPr>
      <w:r>
        <w:rPr>
          <w:rFonts w:hint="eastAsia" w:ascii="仿宋_GB2312" w:eastAsia="仿宋_GB2312"/>
          <w:sz w:val="32"/>
          <w:szCs w:val="32"/>
        </w:rPr>
        <w:t>水胺硫磷是一种广谱、高效、高毒性、低残留的硫代磷酰胺类杀虫剂</w:t>
      </w:r>
      <w:r>
        <w:rPr>
          <w:rFonts w:hint="eastAsia" w:ascii="仿宋_GB2312" w:eastAsia="仿宋_GB2312"/>
          <w:sz w:val="32"/>
          <w:szCs w:val="32"/>
          <w:lang w:eastAsia="zh-CN"/>
        </w:rPr>
        <w:t>，</w:t>
      </w:r>
      <w:r>
        <w:rPr>
          <w:rFonts w:hint="eastAsia" w:ascii="仿宋_GB2312" w:eastAsia="仿宋_GB2312"/>
          <w:sz w:val="32"/>
          <w:szCs w:val="32"/>
        </w:rPr>
        <w:t>兼具胃毒和杀卵作用，主要用于防治果树、水稻和棉花害虫。少量的残留不会引起人体急性中毒，但长期食用水胺硫磷超标的食品，可能对人体健康有一定影响。</w:t>
      </w:r>
      <w:r>
        <w:rPr>
          <w:rFonts w:ascii="Times New Roman" w:hAnsi="Times New Roman" w:eastAsia="仿宋_GB2312"/>
          <w:sz w:val="32"/>
          <w:szCs w:val="32"/>
        </w:rPr>
        <w:t>《食品安全国家标准 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2019）中规定，水胺硫磷在豆类蔬菜中的最大残留限量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为0.05mg/kg。</w:t>
      </w:r>
      <w:r>
        <w:rPr>
          <w:rFonts w:hint="eastAsia" w:ascii="Times New Roman" w:hAnsi="Times New Roman" w:eastAsia="仿宋_GB2312"/>
          <w:sz w:val="32"/>
          <w:szCs w:val="32"/>
        </w:rPr>
        <w:t>豇豆中水胺硫磷</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hint="eastAsia" w:ascii="仿宋_GB2312" w:eastAsia="仿宋_GB2312"/>
          <w:sz w:val="32"/>
          <w:szCs w:val="32"/>
        </w:rPr>
        <w:t>可能是为快速控制病情加大用药量或未遵守采摘间隔期规定，致使上市销售时产品中的药物残留量未降解至标准限量值以下。</w:t>
      </w:r>
    </w:p>
    <w:p>
      <w:pPr>
        <w:ind w:firstLine="592" w:firstLineChars="200"/>
        <w:rPr>
          <w:rFonts w:ascii="黑体" w:hAnsi="黑体" w:eastAsia="黑体"/>
          <w:spacing w:val="-12"/>
          <w:sz w:val="32"/>
          <w:szCs w:val="32"/>
        </w:rPr>
      </w:pPr>
      <w:r>
        <w:rPr>
          <w:rFonts w:hint="eastAsia" w:ascii="黑体" w:hAnsi="黑体" w:eastAsia="黑体"/>
          <w:spacing w:val="-12"/>
          <w:sz w:val="32"/>
          <w:szCs w:val="32"/>
        </w:rPr>
        <w:t>五、镉（以Cd计）</w:t>
      </w:r>
    </w:p>
    <w:p>
      <w:pPr>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镉（以Cd计）是一种蓄积性的重金属元素。长期食用镉（以Cd计）超标的食品，可能对肾脏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肝脏</w:t>
      </w:r>
      <w:r>
        <w:rPr>
          <w:rFonts w:hint="eastAsia" w:ascii="Times New Roman" w:hAnsi="Times New Roman" w:eastAsia="仿宋_GB2312" w:cs="Times New Roman"/>
          <w:sz w:val="32"/>
          <w:szCs w:val="32"/>
        </w:rPr>
        <w:t>和骨骼</w:t>
      </w:r>
      <w:r>
        <w:rPr>
          <w:rFonts w:ascii="Times New Roman" w:hAnsi="Times New Roman" w:eastAsia="仿宋_GB2312" w:cs="Times New Roman"/>
          <w:sz w:val="32"/>
          <w:szCs w:val="32"/>
        </w:rPr>
        <w:t>造成损害，</w:t>
      </w:r>
      <w:r>
        <w:rPr>
          <w:rFonts w:hint="eastAsia" w:ascii="Times New Roman" w:hAnsi="Times New Roman" w:eastAsia="仿宋_GB2312" w:cs="Times New Roman"/>
          <w:sz w:val="32"/>
          <w:szCs w:val="32"/>
        </w:rPr>
        <w:t>还可能</w:t>
      </w:r>
      <w:r>
        <w:rPr>
          <w:rFonts w:ascii="Times New Roman" w:hAnsi="Times New Roman" w:eastAsia="仿宋_GB2312" w:cs="Times New Roman"/>
          <w:sz w:val="32"/>
          <w:szCs w:val="32"/>
        </w:rPr>
        <w:t>影响免疫系统，</w:t>
      </w:r>
      <w:r>
        <w:rPr>
          <w:rFonts w:hint="eastAsia" w:ascii="Times New Roman" w:hAnsi="Times New Roman" w:eastAsia="仿宋_GB2312" w:cs="Times New Roman"/>
          <w:sz w:val="32"/>
          <w:szCs w:val="32"/>
        </w:rPr>
        <w:t>甚至可能对儿童</w:t>
      </w:r>
      <w:r>
        <w:rPr>
          <w:rFonts w:ascii="Times New Roman" w:hAnsi="Times New Roman" w:eastAsia="仿宋_GB2312" w:cs="Times New Roman"/>
          <w:sz w:val="32"/>
          <w:szCs w:val="32"/>
        </w:rPr>
        <w:t>高级神经活动有损害。</w:t>
      </w:r>
      <w:r>
        <w:rPr>
          <w:rFonts w:hint="eastAsia" w:ascii="仿宋_GB2312" w:eastAsia="仿宋_GB2312" w:hAnsiTheme="minorHAnsi"/>
          <w:sz w:val="32"/>
          <w:szCs w:val="32"/>
        </w:rPr>
        <w:t>《食品安全国家标准 食品中污染物限量》（</w:t>
      </w:r>
      <w:r>
        <w:rPr>
          <w:rFonts w:ascii="Times New Roman" w:hAnsi="Times New Roman" w:eastAsia="仿宋_GB2312"/>
          <w:sz w:val="32"/>
          <w:szCs w:val="32"/>
        </w:rPr>
        <w:t>GB 2762</w:t>
      </w:r>
      <w:r>
        <w:rPr>
          <w:rFonts w:hint="eastAsia" w:ascii="Times New Roman" w:hAnsi="Times New Roman" w:eastAsia="仿宋_GB2312"/>
          <w:sz w:val="32"/>
          <w:szCs w:val="32"/>
        </w:rPr>
        <w:t>—2017）中规定，</w:t>
      </w:r>
      <w:r>
        <w:rPr>
          <w:rFonts w:hint="eastAsia" w:ascii="仿宋_GB2312" w:eastAsia="仿宋_GB2312"/>
          <w:sz w:val="32"/>
          <w:szCs w:val="32"/>
        </w:rPr>
        <w:t>镉</w:t>
      </w:r>
      <w:r>
        <w:rPr>
          <w:rFonts w:hint="eastAsia" w:ascii="Times New Roman" w:hAnsi="Times New Roman" w:eastAsia="仿宋_GB2312"/>
          <w:sz w:val="32"/>
          <w:szCs w:val="32"/>
        </w:rPr>
        <w:t>在新鲜蔬菜（叶菜蔬菜、豆类蔬菜、块根和块茎蔬菜、茎类蔬菜、黄花菜除外）中的</w:t>
      </w:r>
      <w:r>
        <w:rPr>
          <w:rFonts w:hint="eastAsia" w:ascii="仿宋_GB2312" w:eastAsia="仿宋_GB2312"/>
          <w:sz w:val="32"/>
          <w:szCs w:val="32"/>
        </w:rPr>
        <w:t>限量值</w:t>
      </w:r>
      <w:r>
        <w:rPr>
          <w:rFonts w:hint="eastAsia" w:ascii="Times New Roman" w:hAnsi="Times New Roman" w:eastAsia="仿宋_GB2312"/>
          <w:sz w:val="32"/>
          <w:szCs w:val="32"/>
        </w:rPr>
        <w:t>为0.05mg/kg。辣椒中</w:t>
      </w:r>
      <w:r>
        <w:rPr>
          <w:rFonts w:hint="eastAsia" w:ascii="仿宋_GB2312" w:eastAsia="仿宋_GB2312"/>
          <w:sz w:val="32"/>
          <w:szCs w:val="32"/>
        </w:rPr>
        <w:t>镉</w:t>
      </w:r>
      <w:r>
        <w:rPr>
          <w:rFonts w:hint="eastAsia" w:ascii="Times New Roman" w:hAnsi="Times New Roman" w:eastAsia="仿宋_GB2312"/>
          <w:sz w:val="32"/>
          <w:szCs w:val="32"/>
        </w:rPr>
        <w:t>超标的原因，可能是其生长过程中富集</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rPr>
        <w:t>环境中的镉元素。</w:t>
      </w:r>
    </w:p>
    <w:p>
      <w:pPr>
        <w:adjustRightInd w:val="0"/>
        <w:snapToGrid w:val="0"/>
        <w:spacing w:line="360" w:lineRule="auto"/>
        <w:ind w:firstLine="592" w:firstLineChars="200"/>
        <w:rPr>
          <w:rFonts w:ascii="黑体" w:hAnsi="黑体" w:eastAsia="黑体"/>
          <w:spacing w:val="-12"/>
          <w:sz w:val="32"/>
          <w:szCs w:val="32"/>
        </w:rPr>
      </w:pPr>
      <w:r>
        <w:rPr>
          <w:rFonts w:hint="eastAsia" w:ascii="黑体" w:hAnsi="黑体" w:eastAsia="黑体"/>
          <w:spacing w:val="-12"/>
          <w:sz w:val="32"/>
          <w:szCs w:val="32"/>
        </w:rPr>
        <w:t>六、防腐剂混合使用时各自用量占其最大使用量的比例之和</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防腐剂是常见的食品添加剂，指天然或合成的化学成分，用于延缓或抑制由微生物引起的食品腐败变质。长期食用防腐剂超标的食品会对人体健康造成损害。《食品安全国家标准</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食品添加剂使用标准》（GB 2760—2014）中规定，防腐剂在混合使用时各自用量占其最大使用量的比例之和不应超过1。蜜饯中防腐剂混合使用时各自用量占其最大使用量的比例之和超标的原因，可能是生产企业在生产加工过程中未严格控制各防腐剂的用量</w:t>
      </w:r>
      <w:r>
        <w:rPr>
          <w:rFonts w:hint="eastAsia" w:ascii="Times New Roman" w:hAnsi="Times New Roman" w:eastAsia="仿宋_GB2312"/>
          <w:sz w:val="32"/>
          <w:szCs w:val="32"/>
          <w:lang w:eastAsia="zh-CN"/>
        </w:rPr>
        <w:t>造成的</w:t>
      </w:r>
      <w:r>
        <w:rPr>
          <w:rFonts w:hint="eastAsia" w:ascii="Times New Roman" w:hAnsi="Times New Roman" w:eastAsia="仿宋_GB2312"/>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C102AB-5B95-4906-B8D3-BE5A49E4EA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0004A81-F922-4E95-BDA5-840921EF177A}"/>
  </w:font>
  <w:font w:name="方正小标宋简体">
    <w:panose1 w:val="03000509000000000000"/>
    <w:charset w:val="86"/>
    <w:family w:val="script"/>
    <w:pitch w:val="default"/>
    <w:sig w:usb0="00000001" w:usb1="080E0000" w:usb2="00000000" w:usb3="00000000" w:csb0="00040000" w:csb1="00000000"/>
    <w:embedRegular r:id="rId3" w:fontKey="{C78A122C-43F1-461E-96CE-93C0724928AA}"/>
  </w:font>
  <w:font w:name="仿宋_GB2312">
    <w:panose1 w:val="02010609030101010101"/>
    <w:charset w:val="86"/>
    <w:family w:val="modern"/>
    <w:pitch w:val="default"/>
    <w:sig w:usb0="00000001" w:usb1="080E0000" w:usb2="00000000" w:usb3="00000000" w:csb0="00040000" w:csb1="00000000"/>
    <w:embedRegular r:id="rId4" w:fontKey="{3D1859BA-F162-4508-A4BB-A74D3AB0D9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attachedTemplate r:id="rId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85137"/>
    <w:rsid w:val="000119D5"/>
    <w:rsid w:val="000276F3"/>
    <w:rsid w:val="00045657"/>
    <w:rsid w:val="0009071C"/>
    <w:rsid w:val="00217ABC"/>
    <w:rsid w:val="00263FF9"/>
    <w:rsid w:val="00366A48"/>
    <w:rsid w:val="003863E8"/>
    <w:rsid w:val="00425E6A"/>
    <w:rsid w:val="00514B88"/>
    <w:rsid w:val="00565D70"/>
    <w:rsid w:val="00576235"/>
    <w:rsid w:val="005C0139"/>
    <w:rsid w:val="005E7727"/>
    <w:rsid w:val="006E3529"/>
    <w:rsid w:val="007114C3"/>
    <w:rsid w:val="00716E8E"/>
    <w:rsid w:val="00741E8B"/>
    <w:rsid w:val="00742D85"/>
    <w:rsid w:val="0076297A"/>
    <w:rsid w:val="00821EE7"/>
    <w:rsid w:val="008A48FA"/>
    <w:rsid w:val="008A5021"/>
    <w:rsid w:val="008E32F5"/>
    <w:rsid w:val="00970BC3"/>
    <w:rsid w:val="00974858"/>
    <w:rsid w:val="009B4783"/>
    <w:rsid w:val="00A0353B"/>
    <w:rsid w:val="00A636E2"/>
    <w:rsid w:val="00A8267D"/>
    <w:rsid w:val="00A93A64"/>
    <w:rsid w:val="00AA1D13"/>
    <w:rsid w:val="00AC1A0F"/>
    <w:rsid w:val="00AD27DE"/>
    <w:rsid w:val="00AD3EE2"/>
    <w:rsid w:val="00AE2315"/>
    <w:rsid w:val="00B11ADD"/>
    <w:rsid w:val="00BA3536"/>
    <w:rsid w:val="00BD226E"/>
    <w:rsid w:val="00C05113"/>
    <w:rsid w:val="00C10C4F"/>
    <w:rsid w:val="00C65F31"/>
    <w:rsid w:val="00C9799C"/>
    <w:rsid w:val="00CB78B8"/>
    <w:rsid w:val="00D501B0"/>
    <w:rsid w:val="00D83AA0"/>
    <w:rsid w:val="00D87B22"/>
    <w:rsid w:val="00D93034"/>
    <w:rsid w:val="00DA0BCC"/>
    <w:rsid w:val="00DD476E"/>
    <w:rsid w:val="00E5774B"/>
    <w:rsid w:val="00E8121D"/>
    <w:rsid w:val="00EA77E3"/>
    <w:rsid w:val="00EF6B02"/>
    <w:rsid w:val="00F05932"/>
    <w:rsid w:val="00F075AE"/>
    <w:rsid w:val="00F1347C"/>
    <w:rsid w:val="00FA490E"/>
    <w:rsid w:val="02E57613"/>
    <w:rsid w:val="0F9A3887"/>
    <w:rsid w:val="11995BD4"/>
    <w:rsid w:val="15B85137"/>
    <w:rsid w:val="16041BA6"/>
    <w:rsid w:val="2C276627"/>
    <w:rsid w:val="2DE7759F"/>
    <w:rsid w:val="361B61C7"/>
    <w:rsid w:val="3ECA4CD4"/>
    <w:rsid w:val="479E0D55"/>
    <w:rsid w:val="4AFE195C"/>
    <w:rsid w:val="4B5562A0"/>
    <w:rsid w:val="4BC323F1"/>
    <w:rsid w:val="4EEE36E4"/>
    <w:rsid w:val="532E3A5B"/>
    <w:rsid w:val="543D0504"/>
    <w:rsid w:val="572E27E0"/>
    <w:rsid w:val="5B0203A0"/>
    <w:rsid w:val="60FD15F7"/>
    <w:rsid w:val="6A7A5576"/>
    <w:rsid w:val="6C456A79"/>
    <w:rsid w:val="6D535020"/>
    <w:rsid w:val="6E0005AE"/>
    <w:rsid w:val="6ED3511D"/>
    <w:rsid w:val="74A44FDB"/>
    <w:rsid w:val="75856B41"/>
    <w:rsid w:val="772D6B9C"/>
    <w:rsid w:val="7CCD4AFB"/>
    <w:rsid w:val="7D2423F5"/>
    <w:rsid w:val="7D366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paragraph" w:customStyle="1" w:styleId="6">
    <w:name w:val="列出段落2"/>
    <w:basedOn w:val="1"/>
    <w:qFormat/>
    <w:uiPriority w:val="34"/>
    <w:pPr>
      <w:ind w:firstLine="420" w:firstLineChars="200"/>
    </w:pPr>
  </w:style>
  <w:style w:type="character" w:customStyle="1" w:styleId="7">
    <w:name w:val="批注框文本 字符"/>
    <w:basedOn w:val="4"/>
    <w:link w:val="2"/>
    <w:qFormat/>
    <w:uiPriority w:val="0"/>
    <w:rPr>
      <w:rFonts w:ascii="Calibri" w:hAnsi="Calibri" w:eastAsia="宋体" w:cs="Times New Roman"/>
      <w:kern w:val="2"/>
      <w:sz w:val="18"/>
      <w:szCs w:val="18"/>
    </w:rPr>
  </w:style>
  <w:style w:type="paragraph" w:styleId="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215</Words>
  <Characters>1230</Characters>
  <Lines>10</Lines>
  <Paragraphs>2</Paragraphs>
  <TotalTime>6</TotalTime>
  <ScaleCrop>false</ScaleCrop>
  <LinksUpToDate>false</LinksUpToDate>
  <CharactersWithSpaces>1443</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2018-10-19T06:08:00Z</dcterms:created>
  <dc:creator>Anonymous</dc:creator>
  <cp:lastModifiedBy>薛莹</cp:lastModifiedBy>
  <dcterms:modified xsi:type="dcterms:W3CDTF">2021-01-08T07:37:48Z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