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p>
      <w:pPr>
        <w:spacing w:line="594" w:lineRule="exact"/>
        <w:jc w:val="center"/>
        <w:rPr>
          <w:rFonts w:ascii="Times New Roman" w:hAnsi="Times New Roman" w:eastAsia="方正小标宋简体"/>
          <w:spacing w:val="-12"/>
          <w:sz w:val="44"/>
          <w:szCs w:val="44"/>
        </w:rPr>
      </w:pPr>
      <w:r>
        <w:rPr>
          <w:rFonts w:hint="eastAsia" w:ascii="Times New Roman" w:hAnsi="Times New Roman" w:eastAsia="方正小标宋简体"/>
          <w:spacing w:val="-12"/>
          <w:sz w:val="44"/>
          <w:szCs w:val="44"/>
        </w:rPr>
        <w:t>部分不合格检验项目小知识</w:t>
      </w:r>
    </w:p>
    <w:p>
      <w:pPr>
        <w:spacing w:line="594" w:lineRule="exact"/>
        <w:jc w:val="center"/>
        <w:rPr>
          <w:rFonts w:ascii="Times New Roman" w:hAnsi="Times New Roman" w:eastAsia="方正小标宋简体"/>
          <w:spacing w:val="-12"/>
          <w:sz w:val="44"/>
          <w:szCs w:val="44"/>
        </w:rPr>
      </w:pPr>
    </w:p>
    <w:p>
      <w:pPr>
        <w:spacing w:line="594" w:lineRule="exact"/>
        <w:ind w:firstLine="592" w:firstLineChars="200"/>
        <w:rPr>
          <w:rFonts w:eastAsia="黑体"/>
          <w:spacing w:val="-12"/>
          <w:sz w:val="32"/>
          <w:szCs w:val="32"/>
        </w:rPr>
      </w:pPr>
      <w:r>
        <w:rPr>
          <w:rFonts w:hint="eastAsia" w:eastAsia="黑体"/>
          <w:spacing w:val="-12"/>
          <w:sz w:val="32"/>
          <w:szCs w:val="32"/>
        </w:rPr>
        <w:t>一、</w:t>
      </w:r>
      <w:r>
        <w:rPr>
          <w:rFonts w:hint="eastAsia" w:ascii="Times New Roman" w:hAnsi="Times New Roman" w:eastAsia="黑体"/>
          <w:spacing w:val="-12"/>
          <w:sz w:val="32"/>
          <w:szCs w:val="32"/>
        </w:rPr>
        <w:t>霉菌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霉菌是评价食品卫生质量的指示性指标。食品中霉菌数是指食品检样经过处理，在一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定条件下培养后，计数所得1g或1mL检样中所形成的霉菌菌落数。如果食品中的霉菌严重超标，将会破坏食品的营养成分，使食品失去食用价值，还可能产生霉菌毒素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长期食用霉菌超标的食品，可能危害人体健康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《食品安全国家标准 糕点、面包》（GB 7099—2015）</w:t>
      </w:r>
      <w:r>
        <w:rPr>
          <w:rFonts w:hint="eastAsia" w:eastAsia="仿宋_GB2312"/>
          <w:sz w:val="32"/>
          <w:szCs w:val="32"/>
        </w:rPr>
        <w:t>中规定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糕点食品中霉菌</w:t>
      </w:r>
      <w:r>
        <w:rPr>
          <w:rFonts w:ascii="Times New Roman" w:hAnsi="Times New Roman" w:eastAsia="仿宋_GB2312"/>
          <w:sz w:val="32"/>
          <w:szCs w:val="32"/>
        </w:rPr>
        <w:t>的检测</w:t>
      </w:r>
      <w:r>
        <w:rPr>
          <w:rFonts w:hint="eastAsia" w:ascii="Times New Roman" w:hAnsi="Times New Roman" w:eastAsia="仿宋_GB2312"/>
          <w:sz w:val="32"/>
          <w:szCs w:val="32"/>
        </w:rPr>
        <w:t>结果</w:t>
      </w:r>
      <w:r>
        <w:rPr>
          <w:rFonts w:ascii="Times New Roman" w:hAnsi="Times New Roman" w:eastAsia="仿宋_GB2312"/>
          <w:sz w:val="32"/>
          <w:szCs w:val="32"/>
        </w:rPr>
        <w:t>不得超过</w:t>
      </w:r>
      <w:r>
        <w:rPr>
          <w:rFonts w:hint="eastAsia" w:ascii="Times New Roman" w:hAnsi="Times New Roman" w:eastAsia="仿宋_GB2312"/>
          <w:sz w:val="32"/>
          <w:szCs w:val="32"/>
        </w:rPr>
        <w:t>150</w:t>
      </w:r>
      <w:r>
        <w:rPr>
          <w:rFonts w:ascii="Times New Roman" w:hAnsi="Times New Roman" w:eastAsia="仿宋_GB2312"/>
          <w:sz w:val="32"/>
          <w:szCs w:val="32"/>
        </w:rPr>
        <w:t>CFU/g。</w:t>
      </w:r>
      <w:r>
        <w:rPr>
          <w:rFonts w:hint="eastAsia" w:ascii="Times New Roman" w:hAnsi="Times New Roman" w:eastAsia="仿宋_GB2312"/>
          <w:sz w:val="32"/>
          <w:szCs w:val="32"/>
        </w:rPr>
        <w:t>糕点</w:t>
      </w:r>
      <w:r>
        <w:rPr>
          <w:rFonts w:ascii="Times New Roman" w:hAnsi="Times New Roman" w:eastAsia="仿宋_GB2312"/>
          <w:sz w:val="32"/>
          <w:szCs w:val="32"/>
        </w:rPr>
        <w:t>中霉菌</w:t>
      </w:r>
      <w:r>
        <w:rPr>
          <w:rFonts w:hint="eastAsia" w:ascii="Times New Roman" w:hAnsi="Times New Roman" w:eastAsia="仿宋_GB2312"/>
          <w:sz w:val="32"/>
          <w:szCs w:val="32"/>
        </w:rPr>
        <w:t>数</w:t>
      </w:r>
      <w:r>
        <w:rPr>
          <w:rFonts w:ascii="Times New Roman" w:hAnsi="Times New Roman" w:eastAsia="仿宋_GB2312"/>
          <w:sz w:val="32"/>
          <w:szCs w:val="32"/>
        </w:rPr>
        <w:t>超标的原因，可能是</w:t>
      </w:r>
      <w:r>
        <w:rPr>
          <w:rFonts w:hint="eastAsia" w:ascii="Times New Roman" w:hAnsi="Times New Roman" w:eastAsia="仿宋_GB2312"/>
          <w:sz w:val="32"/>
          <w:szCs w:val="32"/>
        </w:rPr>
        <w:t>原料或包装材料受到霉菌污染，也可能是产品在生产加工过程中卫生条件控制不到位，还可能与产品储运条件不当有关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594" w:lineRule="exact"/>
        <w:ind w:left="592"/>
        <w:rPr>
          <w:rFonts w:ascii="Times New Roman" w:hAnsi="Times New Roman" w:eastAsia="黑体"/>
          <w:spacing w:val="-12"/>
          <w:sz w:val="32"/>
          <w:szCs w:val="32"/>
        </w:rPr>
      </w:pPr>
      <w:r>
        <w:rPr>
          <w:rFonts w:hint="eastAsia" w:ascii="Times New Roman" w:hAnsi="Times New Roman" w:eastAsia="黑体"/>
          <w:spacing w:val="-12"/>
          <w:sz w:val="32"/>
          <w:szCs w:val="32"/>
        </w:rPr>
        <w:t>二、溴酸盐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溴酸盐</w:t>
      </w:r>
      <w:r>
        <w:rPr>
          <w:rFonts w:hint="eastAsia" w:ascii="Times New Roman" w:hAnsi="Times New Roman" w:eastAsia="仿宋_GB2312"/>
          <w:sz w:val="32"/>
          <w:szCs w:val="32"/>
        </w:rPr>
        <w:t>一般在水中不存在，它是矿泉水及山泉水等多种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含有溴化物的</w:t>
      </w:r>
      <w:r>
        <w:rPr>
          <w:rFonts w:hint="eastAsia" w:ascii="Times New Roman" w:hAnsi="Times New Roman" w:eastAsia="仿宋_GB2312"/>
          <w:sz w:val="32"/>
          <w:szCs w:val="32"/>
        </w:rPr>
        <w:t>天然水源在经过臭氧消毒后产生的副产物。溴酸盐经动物试验证实有致癌性，国际癌症研究机构（IARC）将溴酸盐列为对人类可能致癌物质（2B类）。《食品安全国家标准 饮用天然矿泉水》</w:t>
      </w: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GB 8537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hint="eastAsia" w:ascii="Times New Roman" w:hAnsi="Times New Roman" w:eastAsia="仿宋_GB2312"/>
          <w:sz w:val="32"/>
          <w:szCs w:val="32"/>
        </w:rPr>
        <w:t>2018</w:t>
      </w:r>
      <w:r>
        <w:rPr>
          <w:rFonts w:ascii="Times New Roman" w:hAnsi="Times New Roman" w:eastAsia="仿宋_GB2312"/>
          <w:sz w:val="32"/>
          <w:szCs w:val="32"/>
        </w:rPr>
        <w:t>）中规定，饮用天然矿泉水中溴酸盐</w:t>
      </w:r>
      <w:r>
        <w:rPr>
          <w:rFonts w:hint="eastAsia" w:ascii="Times New Roman" w:hAnsi="Times New Roman" w:eastAsia="仿宋_GB2312"/>
          <w:sz w:val="32"/>
          <w:szCs w:val="32"/>
        </w:rPr>
        <w:t>的</w:t>
      </w:r>
      <w:r>
        <w:rPr>
          <w:rFonts w:ascii="Times New Roman" w:hAnsi="Times New Roman" w:eastAsia="仿宋_GB2312"/>
          <w:sz w:val="32"/>
          <w:szCs w:val="32"/>
        </w:rPr>
        <w:t>最大限量值为0.01mg/L。</w:t>
      </w:r>
      <w:r>
        <w:rPr>
          <w:rFonts w:hint="eastAsia" w:ascii="Times New Roman" w:hAnsi="Times New Roman" w:eastAsia="仿宋_GB2312"/>
          <w:sz w:val="32"/>
          <w:szCs w:val="32"/>
        </w:rPr>
        <w:t>饮用天然矿泉水中溴酸盐检测值超标的原因，可能是由于臭氧消毒杀菌工艺不达标，导致消毒副产物溴酸盐含量超标。</w:t>
      </w:r>
    </w:p>
    <w:p>
      <w:pPr>
        <w:spacing w:line="594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三、甜蜜素（以环己基氨基磺酸计）</w:t>
      </w:r>
    </w:p>
    <w:p>
      <w:pPr>
        <w:spacing w:line="59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甜蜜素，化学名称为环己基氨基磺酸钠，是食品生产中常用的</w:t>
      </w:r>
      <w:r>
        <w:fldChar w:fldCharType="begin"/>
      </w:r>
      <w:r>
        <w:instrText xml:space="preserve"> HYPERLINK "https://baike.baidu.com/item/%E6%B7%BB%E5%8A%A0%E5%89%82/5134870" \t "https://baike.baidu.com/item/%E7%94%9C%E8%9C%9C%E7%B4%A0/_blank" </w:instrText>
      </w:r>
      <w:r>
        <w:fldChar w:fldCharType="separate"/>
      </w:r>
      <w:r>
        <w:rPr>
          <w:rFonts w:hint="eastAsia" w:ascii="Times New Roman" w:hAnsi="Times New Roman" w:eastAsia="仿宋_GB2312"/>
          <w:sz w:val="32"/>
          <w:szCs w:val="32"/>
        </w:rPr>
        <w:t>甜味</w:t>
      </w:r>
      <w:r>
        <w:rPr>
          <w:rFonts w:ascii="Times New Roman" w:hAnsi="Times New Roman" w:eastAsia="仿宋_GB2312"/>
          <w:sz w:val="32"/>
          <w:szCs w:val="32"/>
        </w:rPr>
        <w:t>剂</w:t>
      </w:r>
      <w:r>
        <w:rPr>
          <w:rFonts w:ascii="Times New Roman" w:hAnsi="Times New Roman" w:eastAsia="仿宋_GB2312"/>
          <w:sz w:val="32"/>
          <w:szCs w:val="32"/>
        </w:rPr>
        <w:fldChar w:fldCharType="end"/>
      </w:r>
      <w:r>
        <w:rPr>
          <w:rFonts w:hint="eastAsia" w:ascii="Times New Roman" w:hAnsi="Times New Roman" w:eastAsia="仿宋_GB2312"/>
          <w:sz w:val="32"/>
          <w:szCs w:val="32"/>
        </w:rPr>
        <w:t>之一，其甜度是蔗糖的40—50倍。长期摄入甜蜜素超标的食品，可能对人体的肝脏和神经系统造成一定危害。《食品安全国家标准 食品添加剂使用标准》（GB 2760—2014）中规定，葡萄酒</w:t>
      </w:r>
      <w:r>
        <w:rPr>
          <w:rFonts w:ascii="Times New Roman" w:hAnsi="Times New Roman" w:eastAsia="仿宋_GB2312"/>
          <w:sz w:val="32"/>
          <w:szCs w:val="32"/>
        </w:rPr>
        <w:t>中不</w:t>
      </w:r>
      <w:r>
        <w:rPr>
          <w:rFonts w:hint="eastAsia" w:ascii="Times New Roman" w:hAnsi="Times New Roman" w:eastAsia="仿宋_GB2312"/>
          <w:sz w:val="32"/>
          <w:szCs w:val="32"/>
        </w:rPr>
        <w:t>得</w:t>
      </w:r>
      <w:r>
        <w:rPr>
          <w:rFonts w:ascii="Times New Roman" w:hAnsi="Times New Roman" w:eastAsia="仿宋_GB2312"/>
          <w:sz w:val="32"/>
          <w:szCs w:val="32"/>
        </w:rPr>
        <w:t>使用甜蜜素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/>
          <w:sz w:val="32"/>
          <w:szCs w:val="32"/>
        </w:rPr>
        <w:t>脱壳熟制坚果与籽类中甜蜜素（以环己基氨基磺酸计）</w:t>
      </w:r>
      <w:r>
        <w:rPr>
          <w:rFonts w:hint="eastAsia" w:ascii="Times New Roman" w:hAnsi="Times New Roman" w:eastAsia="仿宋_GB2312"/>
          <w:sz w:val="32"/>
          <w:szCs w:val="32"/>
        </w:rPr>
        <w:t>的</w:t>
      </w:r>
      <w:r>
        <w:rPr>
          <w:rFonts w:ascii="Times New Roman" w:hAnsi="Times New Roman" w:eastAsia="仿宋_GB2312"/>
          <w:sz w:val="32"/>
          <w:szCs w:val="32"/>
        </w:rPr>
        <w:t>最大使用量为1.2g/kg。</w:t>
      </w:r>
      <w:r>
        <w:rPr>
          <w:rFonts w:hint="eastAsia" w:ascii="Times New Roman" w:hAnsi="Times New Roman" w:eastAsia="仿宋_GB2312"/>
          <w:sz w:val="32"/>
          <w:szCs w:val="32"/>
        </w:rPr>
        <w:t>葡萄酒中检出甜蜜素</w:t>
      </w:r>
      <w:r>
        <w:rPr>
          <w:rFonts w:hint="eastAsia" w:eastAsia="仿宋_GB2312"/>
          <w:kern w:val="0"/>
          <w:sz w:val="32"/>
          <w:szCs w:val="32"/>
        </w:rPr>
        <w:t>（以环己基氨基磺酸计）</w:t>
      </w:r>
      <w:r>
        <w:rPr>
          <w:rFonts w:hint="eastAsia" w:ascii="Times New Roman" w:hAnsi="Times New Roman" w:eastAsia="仿宋_GB2312"/>
          <w:sz w:val="32"/>
          <w:szCs w:val="32"/>
        </w:rPr>
        <w:t>的原因，可能是生产</w:t>
      </w:r>
      <w:r>
        <w:rPr>
          <w:rFonts w:ascii="Times New Roman" w:hAnsi="Times New Roman" w:eastAsia="仿宋_GB2312"/>
          <w:sz w:val="32"/>
          <w:szCs w:val="32"/>
        </w:rPr>
        <w:t>企业</w:t>
      </w:r>
      <w:r>
        <w:rPr>
          <w:rFonts w:hint="eastAsia" w:ascii="Times New Roman" w:hAnsi="Times New Roman" w:eastAsia="仿宋_GB2312"/>
          <w:sz w:val="32"/>
          <w:szCs w:val="32"/>
        </w:rPr>
        <w:t>违规添加以改善产品口感，</w:t>
      </w:r>
      <w:r>
        <w:rPr>
          <w:rFonts w:ascii="Times New Roman" w:hAnsi="Times New Roman" w:eastAsia="仿宋_GB2312"/>
          <w:sz w:val="32"/>
          <w:szCs w:val="32"/>
        </w:rPr>
        <w:t>也可能</w:t>
      </w:r>
      <w:r>
        <w:rPr>
          <w:rFonts w:hint="eastAsia" w:ascii="Times New Roman" w:hAnsi="Times New Roman" w:eastAsia="仿宋_GB2312"/>
          <w:sz w:val="32"/>
          <w:szCs w:val="32"/>
        </w:rPr>
        <w:t>是在生产过程中与配制酒交叉</w:t>
      </w:r>
      <w:r>
        <w:rPr>
          <w:rFonts w:ascii="Times New Roman" w:hAnsi="Times New Roman" w:eastAsia="仿宋_GB2312"/>
          <w:sz w:val="32"/>
          <w:szCs w:val="32"/>
        </w:rPr>
        <w:t>污染</w:t>
      </w:r>
      <w:r>
        <w:rPr>
          <w:rFonts w:hint="eastAsia" w:ascii="Times New Roman" w:hAnsi="Times New Roman" w:eastAsia="仿宋_GB2312"/>
          <w:sz w:val="32"/>
          <w:szCs w:val="32"/>
        </w:rPr>
        <w:t>，还可能是生产企业对原辅料把控不严</w:t>
      </w:r>
      <w:r>
        <w:rPr>
          <w:rFonts w:ascii="Times New Roman" w:hAnsi="Times New Roman" w:eastAsia="仿宋_GB2312"/>
          <w:sz w:val="32"/>
          <w:szCs w:val="32"/>
        </w:rPr>
        <w:t>。炒货食品及坚果制品</w:t>
      </w:r>
      <w:r>
        <w:rPr>
          <w:rFonts w:hint="eastAsia" w:eastAsia="仿宋_GB2312"/>
          <w:sz w:val="32"/>
          <w:szCs w:val="32"/>
        </w:rPr>
        <w:t>中</w:t>
      </w:r>
      <w:r>
        <w:rPr>
          <w:rFonts w:ascii="Times New Roman" w:hAnsi="Times New Roman" w:eastAsia="仿宋_GB2312"/>
          <w:sz w:val="32"/>
          <w:szCs w:val="32"/>
        </w:rPr>
        <w:t>甜蜜素（以环己基氨基磺酸计）</w:t>
      </w:r>
      <w:r>
        <w:rPr>
          <w:rFonts w:hint="eastAsia" w:eastAsia="仿宋_GB2312"/>
          <w:sz w:val="32"/>
          <w:szCs w:val="32"/>
        </w:rPr>
        <w:t>检测值</w:t>
      </w:r>
      <w:r>
        <w:rPr>
          <w:rFonts w:ascii="Times New Roman" w:hAnsi="Times New Roman" w:eastAsia="仿宋_GB2312"/>
          <w:sz w:val="32"/>
          <w:szCs w:val="32"/>
        </w:rPr>
        <w:t>超标的原因，可能是生产企业为增加产品</w:t>
      </w:r>
      <w:r>
        <w:rPr>
          <w:rFonts w:hint="eastAsia" w:eastAsia="仿宋_GB2312"/>
          <w:sz w:val="32"/>
          <w:szCs w:val="32"/>
        </w:rPr>
        <w:t>甜度</w:t>
      </w:r>
      <w:r>
        <w:rPr>
          <w:rFonts w:hint="eastAsia" w:eastAsia="仿宋_GB2312"/>
          <w:sz w:val="32"/>
          <w:szCs w:val="32"/>
          <w:lang w:eastAsia="zh-CN"/>
        </w:rPr>
        <w:t>而</w:t>
      </w:r>
      <w:r>
        <w:rPr>
          <w:rFonts w:ascii="Times New Roman" w:hAnsi="Times New Roman" w:eastAsia="仿宋_GB2312"/>
          <w:sz w:val="32"/>
          <w:szCs w:val="32"/>
        </w:rPr>
        <w:t>超量使用</w:t>
      </w:r>
      <w:r>
        <w:rPr>
          <w:rFonts w:hint="eastAsia" w:eastAsia="仿宋_GB2312"/>
          <w:sz w:val="32"/>
          <w:szCs w:val="32"/>
        </w:rPr>
        <w:t>甜蜜素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也可能是</w:t>
      </w:r>
      <w:r>
        <w:rPr>
          <w:rFonts w:ascii="Times New Roman" w:hAnsi="Times New Roman" w:eastAsia="仿宋_GB2312"/>
          <w:sz w:val="32"/>
          <w:szCs w:val="32"/>
        </w:rPr>
        <w:t>使用的复配添加剂中</w:t>
      </w:r>
      <w:r>
        <w:rPr>
          <w:rFonts w:hint="eastAsia" w:eastAsia="仿宋_GB2312"/>
          <w:sz w:val="32"/>
          <w:szCs w:val="32"/>
        </w:rPr>
        <w:t>甜蜜素</w:t>
      </w:r>
      <w:r>
        <w:rPr>
          <w:rFonts w:ascii="Times New Roman" w:hAnsi="Times New Roman" w:eastAsia="仿宋_GB2312"/>
          <w:sz w:val="32"/>
          <w:szCs w:val="32"/>
        </w:rPr>
        <w:t>含量较高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还</w:t>
      </w:r>
      <w:r>
        <w:rPr>
          <w:rFonts w:ascii="Times New Roman" w:hAnsi="Times New Roman" w:eastAsia="仿宋_GB2312"/>
          <w:sz w:val="32"/>
          <w:szCs w:val="32"/>
        </w:rPr>
        <w:t>可能是添加过程中未</w:t>
      </w:r>
      <w:r>
        <w:rPr>
          <w:rFonts w:hint="eastAsia" w:eastAsia="仿宋_GB2312"/>
          <w:sz w:val="32"/>
          <w:szCs w:val="32"/>
        </w:rPr>
        <w:t>准确</w:t>
      </w:r>
      <w:r>
        <w:rPr>
          <w:rFonts w:hint="eastAsia" w:eastAsia="仿宋_GB2312"/>
          <w:sz w:val="32"/>
          <w:szCs w:val="32"/>
          <w:lang w:eastAsia="zh-CN"/>
        </w:rPr>
        <w:t>计</w:t>
      </w:r>
      <w:r>
        <w:rPr>
          <w:rFonts w:hint="eastAsia" w:eastAsia="仿宋_GB2312"/>
          <w:sz w:val="32"/>
          <w:szCs w:val="32"/>
        </w:rPr>
        <w:t>量等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adjustRightInd w:val="0"/>
        <w:snapToGrid w:val="0"/>
        <w:spacing w:line="594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四、亮蓝</w:t>
      </w:r>
    </w:p>
    <w:p>
      <w:pPr>
        <w:adjustRightInd w:val="0"/>
        <w:snapToGrid w:val="0"/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亮蓝又名食用蓝色2号，水溶性非偶氮类</w:t>
      </w:r>
      <w:r>
        <w:rPr>
          <w:rFonts w:hint="eastAsia" w:ascii="Times New Roman" w:hAnsi="Times New Roman" w:eastAsia="仿宋_GB2312"/>
          <w:sz w:val="32"/>
          <w:szCs w:val="32"/>
        </w:rPr>
        <w:t>化合物，</w:t>
      </w:r>
      <w:r>
        <w:rPr>
          <w:rFonts w:ascii="Times New Roman" w:hAnsi="Times New Roman" w:eastAsia="仿宋_GB2312"/>
          <w:sz w:val="32"/>
          <w:szCs w:val="32"/>
        </w:rPr>
        <w:t>是常见的人工合成着色剂，在食品</w:t>
      </w:r>
      <w:r>
        <w:rPr>
          <w:rFonts w:hint="eastAsia" w:ascii="Times New Roman" w:hAnsi="Times New Roman" w:eastAsia="仿宋_GB2312"/>
          <w:sz w:val="32"/>
          <w:szCs w:val="32"/>
        </w:rPr>
        <w:t>生产</w:t>
      </w:r>
      <w:r>
        <w:rPr>
          <w:rFonts w:ascii="Times New Roman" w:hAnsi="Times New Roman" w:eastAsia="仿宋_GB2312"/>
          <w:sz w:val="32"/>
          <w:szCs w:val="32"/>
        </w:rPr>
        <w:t>中应用广泛。如果长期摄入</w:t>
      </w:r>
      <w:r>
        <w:rPr>
          <w:rFonts w:hint="eastAsia" w:ascii="Times New Roman" w:hAnsi="Times New Roman" w:eastAsia="仿宋_GB2312"/>
          <w:sz w:val="32"/>
          <w:szCs w:val="32"/>
        </w:rPr>
        <w:t>亮蓝超标的食品</w:t>
      </w:r>
      <w:r>
        <w:rPr>
          <w:rFonts w:ascii="Times New Roman" w:hAnsi="Times New Roman" w:eastAsia="仿宋_GB2312"/>
          <w:sz w:val="32"/>
          <w:szCs w:val="32"/>
        </w:rPr>
        <w:t>，存在致畸、致癌的可能性。《食品安全国家标准 食品添加剂使用标准》（GB 2760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2014）中规定，凉果类中亮蓝的最大使用量为0.025g/kg。凉果类中亮蓝</w:t>
      </w:r>
      <w:r>
        <w:rPr>
          <w:rFonts w:hint="eastAsia" w:ascii="Times New Roman" w:hAnsi="Times New Roman" w:eastAsia="仿宋_GB2312"/>
          <w:sz w:val="32"/>
          <w:szCs w:val="32"/>
        </w:rPr>
        <w:t>检测值</w:t>
      </w:r>
      <w:r>
        <w:rPr>
          <w:rFonts w:ascii="Times New Roman" w:hAnsi="Times New Roman" w:eastAsia="仿宋_GB2312"/>
          <w:sz w:val="32"/>
          <w:szCs w:val="32"/>
        </w:rPr>
        <w:t>超标的原因，可能是生产过程中计量不准</w:t>
      </w:r>
      <w:r>
        <w:rPr>
          <w:rFonts w:hint="eastAsia" w:ascii="Times New Roman" w:hAnsi="Times New Roman" w:eastAsia="仿宋_GB2312"/>
          <w:sz w:val="32"/>
          <w:szCs w:val="32"/>
        </w:rPr>
        <w:t>确，</w:t>
      </w:r>
      <w:r>
        <w:rPr>
          <w:rFonts w:ascii="Times New Roman" w:hAnsi="Times New Roman" w:eastAsia="仿宋_GB2312"/>
          <w:sz w:val="32"/>
          <w:szCs w:val="32"/>
        </w:rPr>
        <w:t>导致终产品</w:t>
      </w:r>
      <w:r>
        <w:rPr>
          <w:rFonts w:hint="eastAsia" w:ascii="Times New Roman" w:hAnsi="Times New Roman" w:eastAsia="仿宋_GB2312"/>
          <w:sz w:val="32"/>
          <w:szCs w:val="32"/>
        </w:rPr>
        <w:t>中</w:t>
      </w:r>
      <w:r>
        <w:rPr>
          <w:rFonts w:ascii="Times New Roman" w:hAnsi="Times New Roman" w:eastAsia="仿宋_GB2312"/>
          <w:sz w:val="32"/>
          <w:szCs w:val="32"/>
        </w:rPr>
        <w:t>亮蓝超标</w:t>
      </w:r>
      <w:r>
        <w:rPr>
          <w:rFonts w:hint="eastAsia" w:ascii="Times New Roman" w:hAnsi="Times New Roman" w:eastAsia="仿宋_GB2312"/>
          <w:sz w:val="32"/>
          <w:szCs w:val="32"/>
        </w:rPr>
        <w:t>；也</w:t>
      </w:r>
      <w:r>
        <w:rPr>
          <w:rFonts w:ascii="Times New Roman" w:hAnsi="Times New Roman" w:eastAsia="仿宋_GB2312"/>
          <w:sz w:val="32"/>
          <w:szCs w:val="32"/>
        </w:rPr>
        <w:t>可能是生产企业为改善产品色泽</w:t>
      </w:r>
      <w:r>
        <w:rPr>
          <w:rFonts w:hint="eastAsia" w:ascii="Times New Roman" w:hAnsi="Times New Roman" w:eastAsia="仿宋_GB2312"/>
          <w:sz w:val="32"/>
          <w:szCs w:val="32"/>
        </w:rPr>
        <w:t>，提高市场价值而过量使用；还可能是企业掺假造假滥用色素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adjustRightInd w:val="0"/>
        <w:snapToGrid w:val="0"/>
        <w:spacing w:line="594" w:lineRule="exact"/>
        <w:ind w:left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五、苋菜红</w:t>
      </w:r>
    </w:p>
    <w:p>
      <w:pPr>
        <w:adjustRightInd w:val="0"/>
        <w:snapToGrid w:val="0"/>
        <w:spacing w:line="594" w:lineRule="exact"/>
        <w:ind w:firstLine="640" w:firstLineChars="200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苋菜红又名蓝光酸性红，偶氮类化合物，是常见的人工合成着色剂，在食品</w:t>
      </w:r>
      <w:r>
        <w:rPr>
          <w:rFonts w:hint="eastAsia" w:ascii="Times New Roman" w:hAnsi="Times New Roman" w:eastAsia="仿宋_GB2312"/>
          <w:sz w:val="32"/>
          <w:szCs w:val="32"/>
        </w:rPr>
        <w:t>生产</w:t>
      </w:r>
      <w:r>
        <w:rPr>
          <w:rFonts w:ascii="Times New Roman" w:hAnsi="Times New Roman" w:eastAsia="仿宋_GB2312"/>
          <w:sz w:val="32"/>
          <w:szCs w:val="32"/>
        </w:rPr>
        <w:t>中应用广泛。如果长期摄入苋菜红</w:t>
      </w:r>
      <w:r>
        <w:rPr>
          <w:rFonts w:hint="eastAsia" w:ascii="Times New Roman" w:hAnsi="Times New Roman" w:eastAsia="仿宋_GB2312"/>
          <w:sz w:val="32"/>
          <w:szCs w:val="32"/>
        </w:rPr>
        <w:t>超标的食品</w:t>
      </w:r>
      <w:r>
        <w:rPr>
          <w:rFonts w:ascii="Times New Roman" w:hAnsi="Times New Roman" w:eastAsia="仿宋_GB2312"/>
          <w:sz w:val="32"/>
          <w:szCs w:val="32"/>
        </w:rPr>
        <w:t>，存在致畸、致癌的可能性。《食品安全国家标准 食品添加剂使用标准》（GB 2760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2014）中规定，凉果</w:t>
      </w:r>
      <w:r>
        <w:rPr>
          <w:rFonts w:hint="eastAsia" w:ascii="Times New Roman" w:hAnsi="Times New Roman" w:eastAsia="仿宋_GB2312"/>
          <w:sz w:val="32"/>
          <w:szCs w:val="32"/>
        </w:rPr>
        <w:t>类</w:t>
      </w:r>
      <w:r>
        <w:rPr>
          <w:rFonts w:ascii="Times New Roman" w:hAnsi="Times New Roman" w:eastAsia="仿宋_GB2312"/>
          <w:sz w:val="32"/>
          <w:szCs w:val="32"/>
        </w:rPr>
        <w:t>中苋菜红的最大使用量为0.05g/kg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凉果</w:t>
      </w:r>
      <w:r>
        <w:rPr>
          <w:rFonts w:hint="eastAsia" w:ascii="Times New Roman" w:hAnsi="Times New Roman" w:eastAsia="仿宋_GB2312"/>
          <w:sz w:val="32"/>
          <w:szCs w:val="32"/>
        </w:rPr>
        <w:t>类</w:t>
      </w:r>
      <w:r>
        <w:rPr>
          <w:rFonts w:ascii="Times New Roman" w:hAnsi="Times New Roman" w:eastAsia="仿宋_GB2312"/>
          <w:sz w:val="32"/>
          <w:szCs w:val="32"/>
        </w:rPr>
        <w:t>中苋菜红</w:t>
      </w:r>
      <w:r>
        <w:rPr>
          <w:rFonts w:hint="eastAsia" w:ascii="Times New Roman" w:hAnsi="Times New Roman" w:eastAsia="仿宋_GB2312"/>
          <w:sz w:val="32"/>
          <w:szCs w:val="32"/>
        </w:rPr>
        <w:t>检测值</w:t>
      </w:r>
      <w:r>
        <w:rPr>
          <w:rFonts w:ascii="Times New Roman" w:hAnsi="Times New Roman" w:eastAsia="仿宋_GB2312"/>
          <w:sz w:val="32"/>
          <w:szCs w:val="32"/>
        </w:rPr>
        <w:t>超标的原因，可能是生产过程中计量不准</w:t>
      </w:r>
      <w:r>
        <w:rPr>
          <w:rFonts w:hint="eastAsia" w:ascii="Times New Roman" w:hAnsi="Times New Roman" w:eastAsia="仿宋_GB2312"/>
          <w:sz w:val="32"/>
          <w:szCs w:val="32"/>
        </w:rPr>
        <w:t>确，</w:t>
      </w:r>
      <w:r>
        <w:rPr>
          <w:rFonts w:ascii="Times New Roman" w:hAnsi="Times New Roman" w:eastAsia="仿宋_GB2312"/>
          <w:sz w:val="32"/>
          <w:szCs w:val="32"/>
        </w:rPr>
        <w:t>导致终产品</w:t>
      </w:r>
      <w:r>
        <w:rPr>
          <w:rFonts w:hint="eastAsia" w:ascii="Times New Roman" w:hAnsi="Times New Roman" w:eastAsia="仿宋_GB2312"/>
          <w:sz w:val="32"/>
          <w:szCs w:val="32"/>
        </w:rPr>
        <w:t>中苋菜红</w:t>
      </w:r>
      <w:r>
        <w:rPr>
          <w:rFonts w:ascii="Times New Roman" w:hAnsi="Times New Roman" w:eastAsia="仿宋_GB2312"/>
          <w:sz w:val="32"/>
          <w:szCs w:val="32"/>
        </w:rPr>
        <w:t>超标</w:t>
      </w:r>
      <w:r>
        <w:rPr>
          <w:rFonts w:hint="eastAsia" w:ascii="Times New Roman" w:hAnsi="Times New Roman" w:eastAsia="仿宋_GB2312"/>
          <w:sz w:val="32"/>
          <w:szCs w:val="32"/>
        </w:rPr>
        <w:t>；也</w:t>
      </w:r>
      <w:r>
        <w:rPr>
          <w:rFonts w:ascii="Times New Roman" w:hAnsi="Times New Roman" w:eastAsia="仿宋_GB2312"/>
          <w:sz w:val="32"/>
          <w:szCs w:val="32"/>
        </w:rPr>
        <w:t>可能是生产企业为改善产品色泽</w:t>
      </w:r>
      <w:r>
        <w:rPr>
          <w:rFonts w:hint="eastAsia" w:ascii="Times New Roman" w:hAnsi="Times New Roman" w:eastAsia="仿宋_GB2312"/>
          <w:sz w:val="32"/>
          <w:szCs w:val="32"/>
        </w:rPr>
        <w:t>，提高市场价值而过量使用；还可能是企业掺假造假滥用色素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adjustRightInd w:val="0"/>
        <w:snapToGrid w:val="0"/>
        <w:spacing w:line="594" w:lineRule="exact"/>
        <w:ind w:left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六、胭脂红</w:t>
      </w:r>
    </w:p>
    <w:p>
      <w:pPr>
        <w:adjustRightInd w:val="0"/>
        <w:snapToGrid w:val="0"/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胭脂红又名大红、亮猩红，偶氮类</w:t>
      </w:r>
      <w:r>
        <w:rPr>
          <w:rFonts w:hint="eastAsia" w:ascii="Times New Roman" w:hAnsi="Times New Roman" w:eastAsia="仿宋_GB2312"/>
          <w:sz w:val="32"/>
          <w:szCs w:val="32"/>
        </w:rPr>
        <w:t>化合物，</w:t>
      </w:r>
      <w:r>
        <w:rPr>
          <w:rFonts w:ascii="Times New Roman" w:hAnsi="Times New Roman" w:eastAsia="仿宋_GB2312"/>
          <w:sz w:val="32"/>
          <w:szCs w:val="32"/>
        </w:rPr>
        <w:t>是常见的人工合成着色剂，在食品</w:t>
      </w:r>
      <w:r>
        <w:rPr>
          <w:rFonts w:hint="eastAsia" w:ascii="Times New Roman" w:hAnsi="Times New Roman" w:eastAsia="仿宋_GB2312"/>
          <w:sz w:val="32"/>
          <w:szCs w:val="32"/>
        </w:rPr>
        <w:t>生产</w:t>
      </w:r>
      <w:r>
        <w:rPr>
          <w:rFonts w:ascii="Times New Roman" w:hAnsi="Times New Roman" w:eastAsia="仿宋_GB2312"/>
          <w:sz w:val="32"/>
          <w:szCs w:val="32"/>
        </w:rPr>
        <w:t>中应用广泛。如果长期</w:t>
      </w:r>
      <w:r>
        <w:rPr>
          <w:rFonts w:hint="eastAsia" w:ascii="Times New Roman" w:hAnsi="Times New Roman" w:eastAsia="仿宋_GB2312"/>
          <w:sz w:val="32"/>
          <w:szCs w:val="32"/>
        </w:rPr>
        <w:t>摄入胭脂红超标的食品</w:t>
      </w:r>
      <w:r>
        <w:rPr>
          <w:rFonts w:ascii="Times New Roman" w:hAnsi="Times New Roman" w:eastAsia="仿宋_GB2312"/>
          <w:sz w:val="32"/>
          <w:szCs w:val="32"/>
        </w:rPr>
        <w:t>，存在致畸、致癌的可能性。《食品安全国家标准 食品添加剂使用标准》（GB 2760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2014）中规定，凉果</w:t>
      </w:r>
      <w:r>
        <w:rPr>
          <w:rFonts w:hint="eastAsia" w:ascii="Times New Roman" w:hAnsi="Times New Roman" w:eastAsia="仿宋_GB2312"/>
          <w:sz w:val="32"/>
          <w:szCs w:val="32"/>
        </w:rPr>
        <w:t>类</w:t>
      </w:r>
      <w:r>
        <w:rPr>
          <w:rFonts w:ascii="Times New Roman" w:hAnsi="Times New Roman" w:eastAsia="仿宋_GB2312"/>
          <w:sz w:val="32"/>
          <w:szCs w:val="32"/>
        </w:rPr>
        <w:t>中胭脂红的最大使用量为0.05g/kg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凉果</w:t>
      </w:r>
      <w:r>
        <w:rPr>
          <w:rFonts w:hint="eastAsia" w:ascii="Times New Roman" w:hAnsi="Times New Roman" w:eastAsia="仿宋_GB2312"/>
          <w:sz w:val="32"/>
          <w:szCs w:val="32"/>
        </w:rPr>
        <w:t>类</w:t>
      </w:r>
      <w:r>
        <w:rPr>
          <w:rFonts w:ascii="Times New Roman" w:hAnsi="Times New Roman" w:eastAsia="仿宋_GB2312"/>
          <w:sz w:val="32"/>
          <w:szCs w:val="32"/>
        </w:rPr>
        <w:t>中</w:t>
      </w:r>
      <w:r>
        <w:rPr>
          <w:rFonts w:hint="eastAsia" w:ascii="Times New Roman" w:hAnsi="Times New Roman" w:eastAsia="仿宋_GB2312"/>
          <w:sz w:val="32"/>
          <w:szCs w:val="32"/>
        </w:rPr>
        <w:t>胭脂</w:t>
      </w:r>
      <w:r>
        <w:rPr>
          <w:rFonts w:ascii="Times New Roman" w:hAnsi="Times New Roman" w:eastAsia="仿宋_GB2312"/>
          <w:sz w:val="32"/>
          <w:szCs w:val="32"/>
        </w:rPr>
        <w:t>红</w:t>
      </w:r>
      <w:r>
        <w:rPr>
          <w:rFonts w:hint="eastAsia" w:ascii="Times New Roman" w:hAnsi="Times New Roman" w:eastAsia="仿宋_GB2312"/>
          <w:sz w:val="32"/>
          <w:szCs w:val="32"/>
        </w:rPr>
        <w:t>检测值</w:t>
      </w:r>
      <w:r>
        <w:rPr>
          <w:rFonts w:ascii="Times New Roman" w:hAnsi="Times New Roman" w:eastAsia="仿宋_GB2312"/>
          <w:sz w:val="32"/>
          <w:szCs w:val="32"/>
        </w:rPr>
        <w:t>超标的原因，可能是生产过程中计量不准</w:t>
      </w:r>
      <w:r>
        <w:rPr>
          <w:rFonts w:hint="eastAsia" w:ascii="Times New Roman" w:hAnsi="Times New Roman" w:eastAsia="仿宋_GB2312"/>
          <w:sz w:val="32"/>
          <w:szCs w:val="32"/>
        </w:rPr>
        <w:t>确，</w:t>
      </w:r>
      <w:r>
        <w:rPr>
          <w:rFonts w:ascii="Times New Roman" w:hAnsi="Times New Roman" w:eastAsia="仿宋_GB2312"/>
          <w:sz w:val="32"/>
          <w:szCs w:val="32"/>
        </w:rPr>
        <w:t>导致终产品</w:t>
      </w:r>
      <w:r>
        <w:rPr>
          <w:rFonts w:hint="eastAsia" w:ascii="Times New Roman" w:hAnsi="Times New Roman" w:eastAsia="仿宋_GB2312"/>
          <w:sz w:val="32"/>
          <w:szCs w:val="32"/>
        </w:rPr>
        <w:t>中胭脂红</w:t>
      </w:r>
      <w:r>
        <w:rPr>
          <w:rFonts w:ascii="Times New Roman" w:hAnsi="Times New Roman" w:eastAsia="仿宋_GB2312"/>
          <w:sz w:val="32"/>
          <w:szCs w:val="32"/>
        </w:rPr>
        <w:t>超标</w:t>
      </w:r>
      <w:r>
        <w:rPr>
          <w:rFonts w:hint="eastAsia" w:ascii="Times New Roman" w:hAnsi="Times New Roman" w:eastAsia="仿宋_GB2312"/>
          <w:sz w:val="32"/>
          <w:szCs w:val="32"/>
        </w:rPr>
        <w:t>；也</w:t>
      </w:r>
      <w:r>
        <w:rPr>
          <w:rFonts w:ascii="Times New Roman" w:hAnsi="Times New Roman" w:eastAsia="仿宋_GB2312"/>
          <w:sz w:val="32"/>
          <w:szCs w:val="32"/>
        </w:rPr>
        <w:t>可能是生产企业为改善产品色泽</w:t>
      </w:r>
      <w:r>
        <w:rPr>
          <w:rFonts w:hint="eastAsia" w:ascii="Times New Roman" w:hAnsi="Times New Roman" w:eastAsia="仿宋_GB2312"/>
          <w:sz w:val="32"/>
          <w:szCs w:val="32"/>
        </w:rPr>
        <w:t>，提高市场价值而过量使用；还可能是企业掺假造假滥用色素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594" w:lineRule="exact"/>
        <w:ind w:firstLine="592" w:firstLineChars="200"/>
        <w:rPr>
          <w:rFonts w:ascii="黑体" w:hAnsi="黑体" w:eastAsia="黑体"/>
          <w:spacing w:val="-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</w:rPr>
        <w:t>七、酸价（以脂肪计）</w:t>
      </w:r>
      <w:r>
        <w:rPr>
          <w:rFonts w:hint="eastAsia" w:ascii="Times New Roman" w:hAnsi="Times New Roman" w:eastAsia="黑体" w:cstheme="minorBidi"/>
          <w:spacing w:val="-12"/>
          <w:sz w:val="32"/>
          <w:szCs w:val="32"/>
        </w:rPr>
        <w:t>（K</w:t>
      </w:r>
      <w:r>
        <w:rPr>
          <w:rFonts w:ascii="Times New Roman" w:hAnsi="Times New Roman" w:eastAsia="黑体" w:cstheme="minorBidi"/>
          <w:spacing w:val="-12"/>
          <w:sz w:val="32"/>
          <w:szCs w:val="32"/>
        </w:rPr>
        <w:t>OH</w:t>
      </w:r>
      <w:r>
        <w:rPr>
          <w:rFonts w:hint="eastAsia" w:ascii="Times New Roman" w:hAnsi="Times New Roman" w:eastAsia="黑体" w:cstheme="minorBidi"/>
          <w:spacing w:val="-12"/>
          <w:sz w:val="32"/>
          <w:szCs w:val="32"/>
        </w:rPr>
        <w:t>）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酸价</w:t>
      </w:r>
      <w:r>
        <w:rPr>
          <w:rFonts w:hint="eastAsia" w:ascii="Times New Roman" w:hAnsi="Times New Roman" w:eastAsia="仿宋_GB2312"/>
          <w:sz w:val="32"/>
          <w:szCs w:val="32"/>
        </w:rPr>
        <w:t>，又称酸值，</w:t>
      </w:r>
      <w:r>
        <w:rPr>
          <w:rFonts w:ascii="Times New Roman" w:hAnsi="Times New Roman" w:eastAsia="仿宋_GB2312"/>
          <w:sz w:val="32"/>
          <w:szCs w:val="32"/>
        </w:rPr>
        <w:t>主要反映食品中的油脂酸败程度。酸价超标会导致食品有哈喇味，严重超标时所产生的醛、酮、酸会破坏脂溶性维生素，导致肠胃不适。《坚果炒货食品通则》（GB/T 22165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2008）中规定，油炸类</w:t>
      </w:r>
      <w:r>
        <w:rPr>
          <w:rFonts w:hint="eastAsia" w:ascii="Times New Roman" w:hAnsi="Times New Roman" w:eastAsia="仿宋_GB2312"/>
          <w:sz w:val="32"/>
          <w:szCs w:val="32"/>
        </w:rPr>
        <w:t>坚果</w:t>
      </w:r>
      <w:r>
        <w:rPr>
          <w:rFonts w:ascii="Times New Roman" w:hAnsi="Times New Roman" w:eastAsia="仿宋_GB2312"/>
          <w:sz w:val="32"/>
          <w:szCs w:val="32"/>
        </w:rPr>
        <w:t>炒货食品酸</w:t>
      </w:r>
      <w:r>
        <w:rPr>
          <w:rFonts w:hint="eastAsia" w:ascii="Times New Roman" w:hAnsi="Times New Roman" w:eastAsia="仿宋_GB2312"/>
          <w:sz w:val="32"/>
          <w:szCs w:val="32"/>
        </w:rPr>
        <w:t>价</w:t>
      </w:r>
      <w:r>
        <w:rPr>
          <w:rFonts w:ascii="Times New Roman" w:hAnsi="Times New Roman" w:eastAsia="仿宋_GB2312"/>
          <w:sz w:val="32"/>
          <w:szCs w:val="32"/>
        </w:rPr>
        <w:t>（以脂肪计</w:t>
      </w:r>
      <w:r>
        <w:rPr>
          <w:rFonts w:hint="eastAsia" w:ascii="Times New Roman" w:hAnsi="Times New Roman" w:eastAsia="仿宋_GB2312"/>
          <w:sz w:val="32"/>
          <w:szCs w:val="32"/>
        </w:rPr>
        <w:t>，K</w:t>
      </w:r>
      <w:r>
        <w:rPr>
          <w:rFonts w:ascii="Times New Roman" w:hAnsi="Times New Roman" w:eastAsia="仿宋_GB2312"/>
          <w:sz w:val="32"/>
          <w:szCs w:val="32"/>
        </w:rPr>
        <w:t>OH）的最大限量值为3mg/g。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《菜籽油》（GB/T 1536—2004）中规定，四级压榨菜籽油中酸值（K</w:t>
      </w:r>
      <w:r>
        <w:rPr>
          <w:rFonts w:ascii="Times New Roman" w:hAnsi="Times New Roman" w:eastAsia="仿宋_GB2312"/>
          <w:kern w:val="0"/>
          <w:sz w:val="32"/>
          <w:szCs w:val="32"/>
        </w:rPr>
        <w:t>OH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）的最大限量值为3.0mg/g。</w:t>
      </w:r>
      <w:r>
        <w:rPr>
          <w:rFonts w:hint="eastAsia" w:ascii="Times New Roman" w:hAnsi="Times New Roman" w:eastAsia="仿宋_GB2312"/>
          <w:sz w:val="32"/>
          <w:szCs w:val="32"/>
        </w:rPr>
        <w:t>《食品安全国家标准糕点、面包》（GB 7099—2015）中规定，糕点中酸价（以脂肪计）的最大限量值为5mg/g。</w:t>
      </w:r>
      <w:r>
        <w:rPr>
          <w:rFonts w:ascii="Times New Roman" w:hAnsi="Times New Roman" w:eastAsia="仿宋_GB2312"/>
          <w:sz w:val="32"/>
          <w:szCs w:val="32"/>
        </w:rPr>
        <w:t>炒货食品及坚果制品</w:t>
      </w:r>
      <w:r>
        <w:rPr>
          <w:rFonts w:hint="eastAsia" w:ascii="Times New Roman" w:hAnsi="Times New Roman" w:eastAsia="仿宋_GB2312"/>
          <w:sz w:val="32"/>
          <w:szCs w:val="32"/>
        </w:rPr>
        <w:t>、食用油、糕点</w:t>
      </w:r>
      <w:r>
        <w:rPr>
          <w:rFonts w:ascii="Times New Roman" w:hAnsi="Times New Roman" w:eastAsia="仿宋_GB2312"/>
          <w:sz w:val="32"/>
          <w:szCs w:val="32"/>
        </w:rPr>
        <w:t>中酸价（以脂肪计）</w:t>
      </w:r>
      <w:r>
        <w:rPr>
          <w:rFonts w:hint="eastAsia" w:ascii="Times New Roman" w:hAnsi="Times New Roman" w:eastAsia="仿宋_GB2312"/>
          <w:sz w:val="32"/>
          <w:szCs w:val="32"/>
        </w:rPr>
        <w:t>（K</w:t>
      </w:r>
      <w:r>
        <w:rPr>
          <w:rFonts w:ascii="Times New Roman" w:hAnsi="Times New Roman" w:eastAsia="仿宋_GB2312"/>
          <w:sz w:val="32"/>
          <w:szCs w:val="32"/>
        </w:rPr>
        <w:t>OH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检测值超标的原因，可能是企业原料采购把关不严、生产工艺不达标、产品储藏条件不当等。</w:t>
      </w:r>
    </w:p>
    <w:p>
      <w:pPr>
        <w:spacing w:line="594" w:lineRule="exact"/>
        <w:ind w:firstLine="592" w:firstLineChars="200"/>
        <w:rPr>
          <w:rFonts w:ascii="Times New Roman" w:hAnsi="Times New Roman" w:eastAsia="黑体" w:cstheme="minorBidi"/>
          <w:spacing w:val="-12"/>
          <w:sz w:val="32"/>
          <w:szCs w:val="32"/>
        </w:rPr>
      </w:pPr>
      <w:r>
        <w:rPr>
          <w:rFonts w:hint="eastAsia" w:ascii="Times New Roman" w:hAnsi="Times New Roman" w:eastAsia="黑体" w:cstheme="minorBidi"/>
          <w:spacing w:val="-12"/>
          <w:sz w:val="32"/>
          <w:szCs w:val="32"/>
        </w:rPr>
        <w:t>八、过氧化值（以脂肪计）</w:t>
      </w:r>
    </w:p>
    <w:p>
      <w:pPr>
        <w:spacing w:line="59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过氧化值是油脂酸败的早期指标</w:t>
      </w:r>
      <w:r>
        <w:rPr>
          <w:rFonts w:hint="eastAsia" w:eastAsia="仿宋_GB2312"/>
          <w:sz w:val="32"/>
          <w:szCs w:val="32"/>
        </w:rPr>
        <w:t>，主要反映</w:t>
      </w:r>
      <w:r>
        <w:rPr>
          <w:rFonts w:eastAsia="仿宋_GB2312"/>
          <w:sz w:val="32"/>
          <w:szCs w:val="32"/>
        </w:rPr>
        <w:t>油脂被氧化</w:t>
      </w:r>
      <w:r>
        <w:rPr>
          <w:rFonts w:hint="eastAsia" w:eastAsia="仿宋_GB2312"/>
          <w:sz w:val="32"/>
          <w:szCs w:val="32"/>
        </w:rPr>
        <w:t>的程度</w:t>
      </w:r>
      <w:r>
        <w:rPr>
          <w:rFonts w:eastAsia="仿宋_GB2312"/>
          <w:sz w:val="32"/>
          <w:szCs w:val="32"/>
        </w:rPr>
        <w:t>。食用过氧化值超标的食品一般不会对人体产生损害，但</w:t>
      </w:r>
      <w:r>
        <w:rPr>
          <w:rFonts w:hint="eastAsia" w:eastAsia="仿宋_GB2312"/>
          <w:sz w:val="32"/>
          <w:szCs w:val="32"/>
        </w:rPr>
        <w:t>长期</w:t>
      </w:r>
      <w:r>
        <w:rPr>
          <w:rFonts w:eastAsia="仿宋_GB2312"/>
          <w:sz w:val="32"/>
          <w:szCs w:val="32"/>
        </w:rPr>
        <w:t>食用过氧化值严重超标食品可能导致肠胃不适、腹泻等。</w:t>
      </w:r>
      <w:r>
        <w:rPr>
          <w:rFonts w:hint="eastAsia" w:ascii="Times New Roman" w:hAnsi="Times New Roman" w:eastAsia="仿宋_GB2312"/>
          <w:sz w:val="32"/>
          <w:szCs w:val="32"/>
        </w:rPr>
        <w:t>《食品安全国家标准 糕点、面包》（GB 7099—2015）中规定，糕点中过氧化值（以脂肪计</w:t>
      </w:r>
      <w:r>
        <w:rPr>
          <w:rFonts w:hint="eastAsia" w:eastAsia="仿宋_GB2312"/>
          <w:sz w:val="32"/>
          <w:szCs w:val="32"/>
        </w:rPr>
        <w:t>）的</w:t>
      </w:r>
      <w:r>
        <w:rPr>
          <w:rFonts w:ascii="Times New Roman" w:hAnsi="Times New Roman" w:eastAsia="仿宋_GB2312"/>
          <w:sz w:val="32"/>
          <w:szCs w:val="32"/>
        </w:rPr>
        <w:t>最大限量值为</w:t>
      </w:r>
      <w:r>
        <w:rPr>
          <w:rFonts w:hint="eastAsia" w:ascii="Times New Roman" w:hAnsi="Times New Roman" w:eastAsia="仿宋_GB2312"/>
          <w:sz w:val="32"/>
          <w:szCs w:val="32"/>
        </w:rPr>
        <w:t>0.25g/100g。</w:t>
      </w:r>
      <w:r>
        <w:rPr>
          <w:rFonts w:hint="eastAsia" w:eastAsia="仿宋_GB2312"/>
          <w:sz w:val="32"/>
          <w:szCs w:val="32"/>
        </w:rPr>
        <w:t>糕点中过氧化值（以脂肪计）检测值超标的原因，可能是产品用油已经变质，也可能是原料中的脂肪已经被氧化，还可能与产品在储存过程中环境条件控制不当等有关。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7D0460-9C3A-4E4C-9E96-92D30858C7B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AB54DCC-8EA7-452B-9576-0E8F63A8775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66501F2-8A9B-4874-B5D5-46984A9D04F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79995F7-F144-47AE-A23B-E851C397AF65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0827681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TrueTypeFonts/>
  <w:saveSubsetFonts/>
  <w:bordersDoNotSurroundHeader w:val="1"/>
  <w:bordersDoNotSurroundFooter w:val="1"/>
  <w:attachedTemplate r:id="rId1"/>
  <w:revisionView w:markup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85137"/>
    <w:rsid w:val="000119D5"/>
    <w:rsid w:val="00013E30"/>
    <w:rsid w:val="000276F3"/>
    <w:rsid w:val="00045657"/>
    <w:rsid w:val="00063DA7"/>
    <w:rsid w:val="000868BD"/>
    <w:rsid w:val="0009071C"/>
    <w:rsid w:val="000C63B4"/>
    <w:rsid w:val="000D132D"/>
    <w:rsid w:val="000E0F61"/>
    <w:rsid w:val="000E639C"/>
    <w:rsid w:val="00101A1D"/>
    <w:rsid w:val="0010777E"/>
    <w:rsid w:val="00116CA2"/>
    <w:rsid w:val="00135634"/>
    <w:rsid w:val="00135A77"/>
    <w:rsid w:val="00142BDE"/>
    <w:rsid w:val="0015345E"/>
    <w:rsid w:val="00170041"/>
    <w:rsid w:val="0018028B"/>
    <w:rsid w:val="001B6492"/>
    <w:rsid w:val="00205007"/>
    <w:rsid w:val="00217ABC"/>
    <w:rsid w:val="00256527"/>
    <w:rsid w:val="00263FF9"/>
    <w:rsid w:val="00277D08"/>
    <w:rsid w:val="002805F4"/>
    <w:rsid w:val="002973CA"/>
    <w:rsid w:val="002B1D5C"/>
    <w:rsid w:val="00334125"/>
    <w:rsid w:val="0036317E"/>
    <w:rsid w:val="00366A48"/>
    <w:rsid w:val="003863E8"/>
    <w:rsid w:val="00387207"/>
    <w:rsid w:val="003B6CD4"/>
    <w:rsid w:val="003C1AAD"/>
    <w:rsid w:val="003D4702"/>
    <w:rsid w:val="003F5AD0"/>
    <w:rsid w:val="003F6028"/>
    <w:rsid w:val="00407D86"/>
    <w:rsid w:val="004201AC"/>
    <w:rsid w:val="00423211"/>
    <w:rsid w:val="00425E6A"/>
    <w:rsid w:val="00447299"/>
    <w:rsid w:val="00457F63"/>
    <w:rsid w:val="00467CE0"/>
    <w:rsid w:val="004707E4"/>
    <w:rsid w:val="004735A6"/>
    <w:rsid w:val="004C53F6"/>
    <w:rsid w:val="004D036B"/>
    <w:rsid w:val="004D0CC7"/>
    <w:rsid w:val="004D4E94"/>
    <w:rsid w:val="00514B88"/>
    <w:rsid w:val="005216E2"/>
    <w:rsid w:val="00541843"/>
    <w:rsid w:val="00551758"/>
    <w:rsid w:val="00565D70"/>
    <w:rsid w:val="00576235"/>
    <w:rsid w:val="0057719D"/>
    <w:rsid w:val="00580AA7"/>
    <w:rsid w:val="005A6A35"/>
    <w:rsid w:val="005A758A"/>
    <w:rsid w:val="005C0139"/>
    <w:rsid w:val="005C2A8D"/>
    <w:rsid w:val="005C692C"/>
    <w:rsid w:val="005C76FA"/>
    <w:rsid w:val="005D5A75"/>
    <w:rsid w:val="005E7727"/>
    <w:rsid w:val="00603050"/>
    <w:rsid w:val="00613B2D"/>
    <w:rsid w:val="006221A8"/>
    <w:rsid w:val="00632D84"/>
    <w:rsid w:val="00643647"/>
    <w:rsid w:val="006B4C83"/>
    <w:rsid w:val="006E25C7"/>
    <w:rsid w:val="006E3529"/>
    <w:rsid w:val="006E385A"/>
    <w:rsid w:val="006F10E4"/>
    <w:rsid w:val="007114C3"/>
    <w:rsid w:val="00716E8E"/>
    <w:rsid w:val="007323B8"/>
    <w:rsid w:val="00741E8B"/>
    <w:rsid w:val="00742D85"/>
    <w:rsid w:val="0076297A"/>
    <w:rsid w:val="00766A6B"/>
    <w:rsid w:val="00771D1B"/>
    <w:rsid w:val="00786192"/>
    <w:rsid w:val="0079128E"/>
    <w:rsid w:val="007B44DC"/>
    <w:rsid w:val="007C2539"/>
    <w:rsid w:val="007C55DC"/>
    <w:rsid w:val="007D761E"/>
    <w:rsid w:val="00800E6D"/>
    <w:rsid w:val="00806AD3"/>
    <w:rsid w:val="00821EE7"/>
    <w:rsid w:val="00845504"/>
    <w:rsid w:val="00846448"/>
    <w:rsid w:val="00887F75"/>
    <w:rsid w:val="00897065"/>
    <w:rsid w:val="008A48FA"/>
    <w:rsid w:val="008A5021"/>
    <w:rsid w:val="008B15D7"/>
    <w:rsid w:val="008C1364"/>
    <w:rsid w:val="008C1784"/>
    <w:rsid w:val="008C6ED2"/>
    <w:rsid w:val="008E0081"/>
    <w:rsid w:val="008E32F5"/>
    <w:rsid w:val="008E5099"/>
    <w:rsid w:val="008F021C"/>
    <w:rsid w:val="00900777"/>
    <w:rsid w:val="0093073B"/>
    <w:rsid w:val="00960313"/>
    <w:rsid w:val="00965F07"/>
    <w:rsid w:val="00970BC3"/>
    <w:rsid w:val="00971CE9"/>
    <w:rsid w:val="00974858"/>
    <w:rsid w:val="00974E0A"/>
    <w:rsid w:val="009B222A"/>
    <w:rsid w:val="009B4783"/>
    <w:rsid w:val="009C1BB5"/>
    <w:rsid w:val="009C3466"/>
    <w:rsid w:val="009D1B09"/>
    <w:rsid w:val="009E7BB2"/>
    <w:rsid w:val="00A010B9"/>
    <w:rsid w:val="00A0353B"/>
    <w:rsid w:val="00A1474C"/>
    <w:rsid w:val="00A26906"/>
    <w:rsid w:val="00A4164C"/>
    <w:rsid w:val="00A636E2"/>
    <w:rsid w:val="00A8267D"/>
    <w:rsid w:val="00A91948"/>
    <w:rsid w:val="00A9326F"/>
    <w:rsid w:val="00A93A64"/>
    <w:rsid w:val="00AA1D13"/>
    <w:rsid w:val="00AA3B2A"/>
    <w:rsid w:val="00AA5C0A"/>
    <w:rsid w:val="00AC1A0F"/>
    <w:rsid w:val="00AD14F2"/>
    <w:rsid w:val="00AD27DE"/>
    <w:rsid w:val="00AD3EE2"/>
    <w:rsid w:val="00AE2315"/>
    <w:rsid w:val="00AF4A96"/>
    <w:rsid w:val="00B11ADD"/>
    <w:rsid w:val="00B9140D"/>
    <w:rsid w:val="00B935D9"/>
    <w:rsid w:val="00BA3536"/>
    <w:rsid w:val="00BB0DB0"/>
    <w:rsid w:val="00BC6D13"/>
    <w:rsid w:val="00BD226E"/>
    <w:rsid w:val="00BE073D"/>
    <w:rsid w:val="00C05113"/>
    <w:rsid w:val="00C062B0"/>
    <w:rsid w:val="00C10C4F"/>
    <w:rsid w:val="00C202FE"/>
    <w:rsid w:val="00C34DC8"/>
    <w:rsid w:val="00C44F2E"/>
    <w:rsid w:val="00C4512B"/>
    <w:rsid w:val="00C65F31"/>
    <w:rsid w:val="00C66715"/>
    <w:rsid w:val="00C86322"/>
    <w:rsid w:val="00C95EE7"/>
    <w:rsid w:val="00C9799C"/>
    <w:rsid w:val="00CB26E2"/>
    <w:rsid w:val="00CB435C"/>
    <w:rsid w:val="00CB78B8"/>
    <w:rsid w:val="00CC1560"/>
    <w:rsid w:val="00CD0F21"/>
    <w:rsid w:val="00CD2A83"/>
    <w:rsid w:val="00CF5F6A"/>
    <w:rsid w:val="00CF6EF9"/>
    <w:rsid w:val="00D16B82"/>
    <w:rsid w:val="00D2666E"/>
    <w:rsid w:val="00D501B0"/>
    <w:rsid w:val="00D63508"/>
    <w:rsid w:val="00D70167"/>
    <w:rsid w:val="00D83AA0"/>
    <w:rsid w:val="00D87B22"/>
    <w:rsid w:val="00D93034"/>
    <w:rsid w:val="00DA0BCC"/>
    <w:rsid w:val="00DC00F9"/>
    <w:rsid w:val="00DD476E"/>
    <w:rsid w:val="00E00F1F"/>
    <w:rsid w:val="00E01E3C"/>
    <w:rsid w:val="00E167A0"/>
    <w:rsid w:val="00E21F73"/>
    <w:rsid w:val="00E32D98"/>
    <w:rsid w:val="00E43414"/>
    <w:rsid w:val="00E51E77"/>
    <w:rsid w:val="00E54A66"/>
    <w:rsid w:val="00E5774B"/>
    <w:rsid w:val="00E8121D"/>
    <w:rsid w:val="00E82C94"/>
    <w:rsid w:val="00EA77E3"/>
    <w:rsid w:val="00EC0211"/>
    <w:rsid w:val="00ED0256"/>
    <w:rsid w:val="00ED0DA7"/>
    <w:rsid w:val="00ED21A0"/>
    <w:rsid w:val="00EF6B02"/>
    <w:rsid w:val="00F05932"/>
    <w:rsid w:val="00F075AE"/>
    <w:rsid w:val="00F1347C"/>
    <w:rsid w:val="00F75612"/>
    <w:rsid w:val="00F80202"/>
    <w:rsid w:val="00F915D8"/>
    <w:rsid w:val="00FA490E"/>
    <w:rsid w:val="00FA66BA"/>
    <w:rsid w:val="00FC3D20"/>
    <w:rsid w:val="00FF2E4D"/>
    <w:rsid w:val="02E57613"/>
    <w:rsid w:val="159E2C66"/>
    <w:rsid w:val="15B85137"/>
    <w:rsid w:val="16041BA6"/>
    <w:rsid w:val="1D2A530E"/>
    <w:rsid w:val="1F0653D6"/>
    <w:rsid w:val="2DE7759F"/>
    <w:rsid w:val="361B61C7"/>
    <w:rsid w:val="3B797920"/>
    <w:rsid w:val="3ECA4CD4"/>
    <w:rsid w:val="44586DC0"/>
    <w:rsid w:val="479E0D55"/>
    <w:rsid w:val="48805DD2"/>
    <w:rsid w:val="4AFE195C"/>
    <w:rsid w:val="4B304B48"/>
    <w:rsid w:val="4B5562A0"/>
    <w:rsid w:val="4BC323F1"/>
    <w:rsid w:val="52732B71"/>
    <w:rsid w:val="532E3A5B"/>
    <w:rsid w:val="5B0203A0"/>
    <w:rsid w:val="60FD15F7"/>
    <w:rsid w:val="63A75247"/>
    <w:rsid w:val="6A7A5576"/>
    <w:rsid w:val="6D535020"/>
    <w:rsid w:val="6E0005AE"/>
    <w:rsid w:val="6ED3511D"/>
    <w:rsid w:val="74A44FDB"/>
    <w:rsid w:val="75856B41"/>
    <w:rsid w:val="7CCD4AFB"/>
    <w:rsid w:val="7D2423F5"/>
    <w:rsid w:val="7F5B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9"/>
    <w:qFormat/>
    <w:uiPriority w:val="0"/>
    <w:rPr>
      <w:b/>
      <w:bCs/>
    </w:r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7"/>
    <w:qFormat/>
    <w:uiPriority w:val="0"/>
    <w:pPr>
      <w:spacing w:line="594" w:lineRule="exact"/>
      <w:ind w:firstLine="200" w:firstLineChars="200"/>
      <w:jc w:val="left"/>
      <w:outlineLvl w:val="1"/>
    </w:pPr>
    <w:rPr>
      <w:rFonts w:ascii="Times New Roman" w:hAnsi="Times New Roman" w:eastAsia="黑体" w:cstheme="minorBidi"/>
      <w:bCs/>
      <w:kern w:val="28"/>
      <w:sz w:val="32"/>
      <w:szCs w:val="32"/>
    </w:rPr>
  </w:style>
  <w:style w:type="paragraph" w:styleId="8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2"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2">
    <w:name w:val="列出段落2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9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5">
    <w:name w:val="页眉 字符"/>
    <w:basedOn w:val="9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字符"/>
    <w:basedOn w:val="9"/>
    <w:link w:val="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副标题 字符"/>
    <w:basedOn w:val="9"/>
    <w:link w:val="7"/>
    <w:qFormat/>
    <w:uiPriority w:val="0"/>
    <w:rPr>
      <w:rFonts w:ascii="Times New Roman" w:hAnsi="Times New Roman" w:eastAsia="黑体"/>
      <w:bCs/>
      <w:kern w:val="28"/>
      <w:sz w:val="32"/>
      <w:szCs w:val="32"/>
    </w:rPr>
  </w:style>
  <w:style w:type="character" w:customStyle="1" w:styleId="18">
    <w:name w:val="批注文字 字符"/>
    <w:basedOn w:val="9"/>
    <w:link w:val="3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9">
    <w:name w:val="批注主题 字符"/>
    <w:basedOn w:val="18"/>
    <w:link w:val="2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340</Words>
  <Characters>1939</Characters>
  <Lines>16</Lines>
  <Paragraphs>4</Paragraphs>
  <TotalTime>25</TotalTime>
  <ScaleCrop>false</ScaleCrop>
  <LinksUpToDate>false</LinksUpToDate>
  <CharactersWithSpaces>2275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2018-10-19T06:08:00Z</dcterms:created>
  <dc:creator>Anonymous</dc:creator>
  <cp:lastModifiedBy>彭小婷</cp:lastModifiedBy>
  <dcterms:modified xsi:type="dcterms:W3CDTF">2021-03-12T09:34:07Z</dcterms:modified>
  <dc:title>附件1</dc:title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