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黑体"/>
          <w:spacing w:val="-12"/>
          <w:sz w:val="44"/>
          <w:szCs w:val="44"/>
        </w:rPr>
      </w:pPr>
      <w:bookmarkStart w:id="2" w:name="_GoBack"/>
      <w:bookmarkEnd w:id="2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一、咖啡因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咖啡因又称咖啡碱，是一种嘌呤类生物碱。咖啡因具有刺激中枢神经的功能，能够起到兴奋剂的作用</w:t>
      </w:r>
      <w:r>
        <w:rPr>
          <w:rFonts w:hint="eastAsia" w:ascii="Times New Roman" w:hAnsi="Times New Roman" w:eastAsia="仿宋_GB2312"/>
          <w:sz w:val="32"/>
          <w:szCs w:val="32"/>
        </w:rPr>
        <w:t>，同时</w:t>
      </w:r>
      <w:r>
        <w:rPr>
          <w:rFonts w:ascii="Times New Roman" w:hAnsi="Times New Roman" w:eastAsia="仿宋_GB2312"/>
          <w:sz w:val="32"/>
          <w:szCs w:val="32"/>
        </w:rPr>
        <w:t>具有一定的成瘾性，长期食用会影响睡眠，</w:t>
      </w:r>
      <w:r>
        <w:rPr>
          <w:rFonts w:hint="eastAsia" w:ascii="Times New Roman" w:hAnsi="Times New Roman" w:eastAsia="仿宋_GB2312"/>
          <w:sz w:val="32"/>
          <w:szCs w:val="32"/>
        </w:rPr>
        <w:t>甚至</w:t>
      </w:r>
      <w:r>
        <w:rPr>
          <w:rFonts w:ascii="Times New Roman" w:hAnsi="Times New Roman" w:eastAsia="仿宋_GB2312"/>
          <w:sz w:val="32"/>
          <w:szCs w:val="32"/>
        </w:rPr>
        <w:t>引起血压升高、心率失常等。</w:t>
      </w:r>
      <w:r>
        <w:rPr>
          <w:rFonts w:hint="eastAsia" w:ascii="Times New Roman" w:hAnsi="Times New Roman" w:eastAsia="仿宋_GB2312"/>
          <w:sz w:val="32"/>
          <w:szCs w:val="32"/>
        </w:rPr>
        <w:t>食品补充检验方法</w:t>
      </w:r>
      <w:r>
        <w:rPr>
          <w:rFonts w:ascii="Times New Roman" w:hAnsi="Times New Roman" w:eastAsia="仿宋_GB2312"/>
          <w:sz w:val="32"/>
          <w:szCs w:val="32"/>
        </w:rPr>
        <w:t>《食品中西布曲明等化合物的</w:t>
      </w:r>
      <w:r>
        <w:rPr>
          <w:rFonts w:hint="eastAsia" w:ascii="Times New Roman" w:hAnsi="Times New Roman" w:eastAsia="仿宋_GB2312"/>
          <w:sz w:val="32"/>
          <w:szCs w:val="32"/>
        </w:rPr>
        <w:t>测定</w:t>
      </w:r>
      <w:r>
        <w:rPr>
          <w:rFonts w:ascii="Times New Roman" w:hAnsi="Times New Roman" w:eastAsia="仿宋_GB2312"/>
          <w:sz w:val="32"/>
          <w:szCs w:val="32"/>
        </w:rPr>
        <w:t>》（BJS 201701）中规定，咖啡因在代用茶中不得使用。代用茶中检出咖啡因的原因，可能是个别生产企业违规添加。</w:t>
      </w: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二、菌落总数</w:t>
      </w:r>
    </w:p>
    <w:p>
      <w:pPr>
        <w:spacing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食品安全国家标准 动物性水产制品》（</w:t>
      </w:r>
      <w:r>
        <w:rPr>
          <w:rFonts w:ascii="Times New Roman" w:hAnsi="Times New Roman" w:eastAsia="仿宋_GB2312"/>
          <w:sz w:val="32"/>
          <w:szCs w:val="32"/>
        </w:rPr>
        <w:t>GB 10136</w:t>
      </w:r>
      <w:r>
        <w:rPr>
          <w:rFonts w:hint="eastAsia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eastAsia="仿宋_GB2312"/>
          <w:sz w:val="32"/>
          <w:szCs w:val="32"/>
        </w:rPr>
        <w:t>）中规定，即食生制动物性水产制品一个样品中菌落总数的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次检测结果均不得超过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CFU/g</w:t>
      </w:r>
      <w:r>
        <w:rPr>
          <w:rFonts w:hint="eastAsia" w:eastAsia="仿宋_GB2312"/>
          <w:sz w:val="32"/>
          <w:szCs w:val="32"/>
        </w:rPr>
        <w:t>，且至少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次检测结果不超过</w:t>
      </w:r>
      <w:r>
        <w:rPr>
          <w:rFonts w:hint="eastAsia" w:ascii="Times New Roman" w:hAnsi="Times New Roman" w:eastAsia="仿宋_GB2312"/>
          <w:sz w:val="32"/>
          <w:szCs w:val="32"/>
        </w:rPr>
        <w:t>5×10</w:t>
      </w:r>
      <w:r>
        <w:rPr>
          <w:rFonts w:hint="eastAsia"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CFU/g</w:t>
      </w:r>
      <w:r>
        <w:rPr>
          <w:rFonts w:hint="eastAsia" w:eastAsia="仿宋_GB2312"/>
          <w:sz w:val="32"/>
          <w:szCs w:val="32"/>
        </w:rPr>
        <w:t>。水产制品中菌落总数超标的原因，可能是企业未按要求严格控制生产加工过程的卫生条件，也可能与产品包装密封不严或储运条件不当等有关。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三、大肠菌群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《食品安全国家标准 坚果与籽类食品》（GB 19300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2014）中规定，炒货食品及坚果制品一个样品中大肠菌群的5次检测结果均不得超过10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/>
          <w:sz w:val="32"/>
          <w:szCs w:val="32"/>
        </w:rPr>
        <w:t>CFU/g，且至少3次检测结果不超过10CFU/g。炒货食品及坚果制品中</w:t>
      </w:r>
      <w:r>
        <w:rPr>
          <w:rFonts w:hint="eastAsia" w:ascii="Times New Roman" w:hAnsi="Times New Roman" w:eastAsia="仿宋_GB2312"/>
          <w:sz w:val="32"/>
          <w:szCs w:val="32"/>
        </w:rPr>
        <w:t>大肠菌群数</w:t>
      </w:r>
      <w:r>
        <w:rPr>
          <w:rFonts w:ascii="Times New Roman" w:hAnsi="Times New Roman" w:eastAsia="仿宋_GB2312"/>
          <w:sz w:val="32"/>
          <w:szCs w:val="32"/>
        </w:rPr>
        <w:t>超标的原因，可能是产品的加工原料、包装材料受污染，也可能是产品在生产过程中受人员、工器具等的污染，还可能是灭菌工艺灭菌不彻底导致的。</w:t>
      </w:r>
    </w:p>
    <w:p>
      <w:pPr>
        <w:spacing w:line="594" w:lineRule="exact"/>
        <w:ind w:firstLine="592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四、氯霉素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氯霉素是酰胺醇类抗生素，对革兰氏阳性菌和革兰氏阴性菌均有较好的抑制作用。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氯霉素残留</w:t>
      </w:r>
      <w:r>
        <w:rPr>
          <w:rFonts w:hint="eastAsia" w:ascii="Times New Roman" w:hAnsi="Times New Roman" w:eastAsia="仿宋_GB2312"/>
          <w:sz w:val="32"/>
          <w:szCs w:val="32"/>
        </w:rPr>
        <w:t>一般不会导致对人体的急性毒性作用；长期大量摄入氯霉素残留超标的食品，可能在人体内蓄积，产生耐药并对同类药物有交叉耐药，引起胃肠道症状、肝功能异常、血液系统异常等。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auto"/>
        </w:rPr>
        <w:t>我国发布的《食品动物中禁止使用的药品及其他化合物清单》（农业农村部公告 第250号）</w:t>
      </w:r>
      <w:r>
        <w:rPr>
          <w:rFonts w:hint="eastAsia" w:ascii="Times New Roman" w:hAnsi="Times New Roman" w:eastAsia="仿宋_GB2312"/>
          <w:sz w:val="32"/>
          <w:szCs w:val="32"/>
        </w:rPr>
        <w:t>中将氯霉素列为在食品动物中禁止使用的药品及其他化合物，在蜂蜜中不得检出。蜂蜜中检出氯霉素的原因，可能是其抑菌效果好、相对廉价，蜂农在养殖中非法使用；也可能是日常使用的蜂药中含有氯霉素药物，或者养蜂环境中氯霉素的迁移污染。</w:t>
      </w:r>
    </w:p>
    <w:p>
      <w:pPr>
        <w:spacing w:line="594" w:lineRule="exact"/>
        <w:ind w:firstLine="59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五、甲基异柳磷</w:t>
      </w:r>
    </w:p>
    <w:p>
      <w:pPr>
        <w:numPr>
          <w:ilvl w:val="255"/>
          <w:numId w:val="0"/>
        </w:num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甲基异柳磷，属高毒性的硫代磷酸酯类有机磷农药，是高毒、高效、广谱的内吸性杀虫杀螨剂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少量的残留不会引起人体急性中毒，但长期食用</w:t>
      </w:r>
      <w:r>
        <w:rPr>
          <w:rFonts w:hint="eastAsia" w:ascii="仿宋_GB2312" w:hAnsi="仿宋_GB2312" w:eastAsia="仿宋_GB2312" w:cs="仿宋_GB2312"/>
          <w:sz w:val="32"/>
          <w:szCs w:val="32"/>
        </w:rPr>
        <w:t>甲基异柳磷</w:t>
      </w:r>
      <w:r>
        <w:rPr>
          <w:rFonts w:ascii="Times New Roman" w:hAnsi="Times New Roman" w:eastAsia="仿宋_GB2312"/>
          <w:sz w:val="32"/>
          <w:szCs w:val="32"/>
        </w:rPr>
        <w:t>超标的食品，对人体健康可能有一定影响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食品中农药最大残留限量》（GB 2763—2019）中规定，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甲基异柳磷</w:t>
      </w:r>
      <w:r>
        <w:rPr>
          <w:rFonts w:hint="eastAsia" w:ascii="Times New Roman" w:hAnsi="Times New Roman" w:eastAsia="仿宋_GB2312"/>
          <w:sz w:val="32"/>
          <w:szCs w:val="32"/>
        </w:rPr>
        <w:t>在豆类蔬菜中的最大残留限量值为</w:t>
      </w:r>
      <w:r>
        <w:rPr>
          <w:rFonts w:ascii="Times New Roman" w:hAnsi="Times New Roman" w:eastAsia="仿宋_GB2312"/>
          <w:sz w:val="32"/>
          <w:szCs w:val="32"/>
        </w:rPr>
        <w:t>0.0</w:t>
      </w:r>
      <w:r>
        <w:rPr>
          <w:rFonts w:hint="eastAsia" w:ascii="Times New Roman" w:hAnsi="Times New Roman" w:eastAsia="仿宋_GB2312"/>
          <w:sz w:val="32"/>
          <w:szCs w:val="32"/>
        </w:rPr>
        <w:t>1mg/kg。</w:t>
      </w:r>
      <w:r>
        <w:rPr>
          <w:rFonts w:hint="eastAsia" w:ascii="仿宋_GB2312" w:hAnsi="仿宋_GB2312" w:eastAsia="仿宋_GB2312" w:cs="仿宋_GB2312"/>
          <w:sz w:val="32"/>
          <w:szCs w:val="32"/>
        </w:rPr>
        <w:t>豇豆中甲基异柳磷残留量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虫害而违规使用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六、克百威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克百威又名呋喃丹，是氨基甲酸酯类农药中常见的一种杀虫剂。少量的残留不会引起人体急性中毒，但长期食用克百威超标的食品，对人体健康可能有一定影响。《食品安全国家标准 食品中农药最大残留限量》（GB 2763—2019）中规定，</w:t>
      </w:r>
      <w:r>
        <w:rPr>
          <w:rFonts w:hint="eastAsia" w:ascii="仿宋_GB2312" w:eastAsia="仿宋_GB2312"/>
          <w:sz w:val="32"/>
          <w:szCs w:val="32"/>
        </w:rPr>
        <w:t>克百威</w:t>
      </w:r>
      <w:r>
        <w:rPr>
          <w:rFonts w:hint="eastAsia" w:ascii="Times New Roman" w:hAnsi="Times New Roman" w:eastAsia="仿宋_GB2312"/>
          <w:sz w:val="32"/>
          <w:szCs w:val="32"/>
        </w:rPr>
        <w:t>在豆类蔬菜中的最大残留限量值为</w:t>
      </w:r>
      <w:r>
        <w:rPr>
          <w:rFonts w:ascii="Times New Roman" w:hAnsi="Times New Roman" w:eastAsia="仿宋_GB2312"/>
          <w:sz w:val="32"/>
          <w:szCs w:val="32"/>
        </w:rPr>
        <w:t>0.</w:t>
      </w:r>
      <w:r>
        <w:rPr>
          <w:rFonts w:hint="eastAsia" w:ascii="Times New Roman" w:hAnsi="Times New Roman" w:eastAsia="仿宋_GB2312"/>
          <w:sz w:val="32"/>
          <w:szCs w:val="32"/>
        </w:rPr>
        <w:t>02mg/kg</w:t>
      </w:r>
      <w:r>
        <w:rPr>
          <w:rFonts w:hint="eastAsia" w:ascii="仿宋_GB2312" w:eastAsia="仿宋_GB2312"/>
          <w:sz w:val="32"/>
          <w:szCs w:val="32"/>
        </w:rPr>
        <w:t>。豇豆中克百威残留量超标的原因,</w:t>
      </w:r>
      <w:r>
        <w:rPr>
          <w:rFonts w:hint="eastAsia" w:ascii="Times New Roman" w:hAnsi="Times New Roman" w:eastAsia="仿宋_GB2312"/>
          <w:sz w:val="32"/>
          <w:szCs w:val="32"/>
        </w:rPr>
        <w:t>可能是为快速控制虫害而违规使用。</w:t>
      </w:r>
    </w:p>
    <w:p>
      <w:pPr>
        <w:spacing w:line="594" w:lineRule="exact"/>
        <w:ind w:firstLine="592" w:firstLineChars="200"/>
        <w:rPr>
          <w:rFonts w:ascii="仿宋_GB2312" w:eastAsia="仿宋_GB2312"/>
          <w:sz w:val="32"/>
          <w:szCs w:val="32"/>
        </w:rPr>
      </w:pPr>
      <w:bookmarkStart w:id="0" w:name="_Toc30283"/>
      <w:bookmarkStart w:id="1" w:name="_Toc14504"/>
      <w:r>
        <w:rPr>
          <w:rFonts w:hint="eastAsia" w:ascii="黑体" w:hAnsi="黑体" w:eastAsia="黑体"/>
          <w:spacing w:val="-12"/>
          <w:sz w:val="32"/>
          <w:szCs w:val="32"/>
        </w:rPr>
        <w:t>七、氧乐果</w:t>
      </w:r>
    </w:p>
    <w:p>
      <w:pPr>
        <w:numPr>
          <w:ilvl w:val="255"/>
          <w:numId w:val="0"/>
        </w:num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氧乐果是一种广谱高效的内吸性有机磷农药，有良好的触杀和胃毒作用。</w:t>
      </w:r>
      <w:bookmarkEnd w:id="0"/>
      <w:bookmarkEnd w:id="1"/>
      <w:r>
        <w:rPr>
          <w:rFonts w:hint="eastAsia" w:ascii="仿宋_GB2312" w:eastAsia="仿宋_GB2312"/>
          <w:sz w:val="32"/>
          <w:szCs w:val="32"/>
        </w:rPr>
        <w:t>长期食用氧乐果超标的食品，对人体健康可能有一定危害。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食品中农药最大残留限量》（GB 2763—2019）中规定，</w:t>
      </w:r>
      <w:r>
        <w:rPr>
          <w:rFonts w:hint="eastAsia" w:ascii="仿宋_GB2312" w:eastAsia="仿宋_GB2312"/>
          <w:sz w:val="32"/>
          <w:szCs w:val="32"/>
        </w:rPr>
        <w:t>氧乐果</w:t>
      </w:r>
      <w:r>
        <w:rPr>
          <w:rFonts w:hint="eastAsia" w:ascii="Times New Roman" w:hAnsi="Times New Roman" w:eastAsia="仿宋_GB2312"/>
          <w:sz w:val="32"/>
          <w:szCs w:val="32"/>
        </w:rPr>
        <w:t>在瓜类蔬菜中的最大残留限量值为</w:t>
      </w:r>
      <w:r>
        <w:rPr>
          <w:rFonts w:ascii="Times New Roman" w:hAnsi="Times New Roman" w:eastAsia="仿宋_GB2312"/>
          <w:sz w:val="32"/>
          <w:szCs w:val="32"/>
        </w:rPr>
        <w:t>0.02</w:t>
      </w:r>
      <w:r>
        <w:rPr>
          <w:rFonts w:hint="eastAsia" w:ascii="Times New Roman" w:hAnsi="Times New Roman" w:eastAsia="仿宋_GB2312"/>
          <w:sz w:val="32"/>
          <w:szCs w:val="32"/>
        </w:rPr>
        <w:t>mg/kg。</w:t>
      </w:r>
      <w:r>
        <w:rPr>
          <w:rFonts w:hint="eastAsia" w:ascii="仿宋_GB2312" w:hAnsi="仿宋_GB2312" w:eastAsia="仿宋_GB2312" w:cs="仿宋_GB2312"/>
          <w:sz w:val="32"/>
          <w:szCs w:val="32"/>
        </w:rPr>
        <w:t>黄瓜中氧乐果残留量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虫害而违规使用所致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八、毒死蜱</w:t>
      </w:r>
    </w:p>
    <w:p>
      <w:pPr>
        <w:pStyle w:val="5"/>
        <w:widowControl/>
        <w:spacing w:beforeAutospacing="0" w:afterAutospacing="0" w:line="594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毒死蜱是一种硫代磷酸酯类有机磷杀虫、杀螨剂，具有良好的触杀、胃毒和熏蒸作用。少量的残留不会引起人体急性中毒，但长期食用毒死蜱超标的食品，对人体健康可能有一定影响。《食品安全国家标准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2019）中规定，毒死蜱在芹菜中的最大残留限量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为0.05mg/kg。</w:t>
      </w:r>
      <w:r>
        <w:rPr>
          <w:rFonts w:hint="eastAsia" w:ascii="Times New Roman" w:hAnsi="Times New Roman" w:eastAsia="仿宋_GB2312"/>
          <w:sz w:val="32"/>
          <w:szCs w:val="32"/>
        </w:rPr>
        <w:t>芹菜中毒死蜱残留量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，可能是为快速控制虫害而违规使用。</w:t>
      </w:r>
    </w:p>
    <w:p>
      <w:pPr>
        <w:spacing w:line="594" w:lineRule="exact"/>
        <w:ind w:firstLine="592" w:firstLineChars="200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九</w:t>
      </w:r>
      <w:r>
        <w:rPr>
          <w:rFonts w:ascii="Times New Roman" w:hAnsi="Times New Roman" w:eastAsia="黑体"/>
          <w:spacing w:val="-12"/>
          <w:sz w:val="32"/>
          <w:szCs w:val="32"/>
        </w:rPr>
        <w:t>、山梨酸及其钾盐（以山梨酸计）</w:t>
      </w:r>
    </w:p>
    <w:p>
      <w:pPr>
        <w:pStyle w:val="8"/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山梨酸及其钾盐抗菌性强，防腐效果好，是目前应用非常广泛的食品防腐剂。长期食用山梨酸及其钾盐超标的食品，可能对肝脏、肾脏、骨骼生长造成危害。《食品安全国家标准 食品添加剂使用标准》（GB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2014）中规定，山梨酸及其钾盐（以山梨酸计）在</w:t>
      </w:r>
      <w:r>
        <w:rPr>
          <w:rFonts w:hint="eastAsia" w:ascii="Times New Roman" w:hAnsi="Times New Roman" w:eastAsia="仿宋_GB2312"/>
          <w:sz w:val="32"/>
          <w:szCs w:val="32"/>
        </w:rPr>
        <w:t>腌腊肉制品类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不得使用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腌腊肉制品类检出</w:t>
      </w:r>
      <w:r>
        <w:rPr>
          <w:rFonts w:ascii="Times New Roman" w:hAnsi="Times New Roman" w:eastAsia="仿宋_GB2312"/>
          <w:sz w:val="32"/>
          <w:szCs w:val="32"/>
        </w:rPr>
        <w:t>山梨酸及其钾盐</w:t>
      </w:r>
      <w:r>
        <w:rPr>
          <w:rFonts w:hint="eastAsia" w:ascii="Times New Roman" w:hAnsi="Times New Roman" w:eastAsia="仿宋_GB2312"/>
          <w:sz w:val="32"/>
          <w:szCs w:val="32"/>
        </w:rPr>
        <w:t>（以山梨酸计）</w:t>
      </w:r>
      <w:r>
        <w:rPr>
          <w:rFonts w:ascii="Times New Roman" w:hAnsi="Times New Roman" w:eastAsia="仿宋_GB2312"/>
          <w:sz w:val="32"/>
          <w:szCs w:val="32"/>
        </w:rPr>
        <w:t>的原因，可能是企业为</w:t>
      </w:r>
      <w:r>
        <w:rPr>
          <w:rFonts w:hint="eastAsia" w:ascii="Times New Roman" w:hAnsi="Times New Roman" w:eastAsia="仿宋_GB2312"/>
          <w:sz w:val="32"/>
          <w:szCs w:val="32"/>
        </w:rPr>
        <w:t>延长</w:t>
      </w:r>
      <w:r>
        <w:rPr>
          <w:rFonts w:ascii="Times New Roman" w:hAnsi="Times New Roman" w:eastAsia="仿宋_GB2312"/>
          <w:sz w:val="32"/>
          <w:szCs w:val="32"/>
        </w:rPr>
        <w:t>产品保质期，或者弥补产品生产过程卫生条件不佳而使用。</w:t>
      </w:r>
    </w:p>
    <w:p>
      <w:pPr>
        <w:pStyle w:val="10"/>
        <w:spacing w:line="594" w:lineRule="exact"/>
        <w:ind w:firstLine="592"/>
        <w:textAlignment w:val="baseline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十、</w:t>
      </w:r>
      <w:r>
        <w:rPr>
          <w:rFonts w:ascii="Times New Roman" w:hAnsi="Times New Roman" w:eastAsia="黑体"/>
          <w:spacing w:val="-12"/>
          <w:sz w:val="32"/>
          <w:szCs w:val="32"/>
        </w:rPr>
        <w:t>脱氢乙酸及其钠盐（以脱氢乙酸计）</w:t>
      </w:r>
    </w:p>
    <w:p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脱氢乙酸及其钠盐是一种常见的广谱性食品防腐剂，对霉菌</w:t>
      </w:r>
      <w:r>
        <w:rPr>
          <w:rFonts w:hint="eastAsia" w:eastAsia="仿宋_GB2312"/>
          <w:kern w:val="0"/>
          <w:sz w:val="32"/>
          <w:szCs w:val="32"/>
        </w:rPr>
        <w:t>和</w:t>
      </w:r>
      <w:r>
        <w:rPr>
          <w:rFonts w:eastAsia="仿宋_GB2312"/>
          <w:kern w:val="0"/>
          <w:sz w:val="32"/>
          <w:szCs w:val="32"/>
        </w:rPr>
        <w:t>酵母有较好的抑制作用。</w:t>
      </w:r>
      <w:r>
        <w:rPr>
          <w:rFonts w:hint="eastAsia" w:eastAsia="仿宋_GB2312"/>
          <w:sz w:val="32"/>
          <w:szCs w:val="32"/>
        </w:rPr>
        <w:t>脱氢乙酸及其钠盐能被人体迅速吸收，并分布于血液和多个器官中，长期食用脱氢乙酸及其钠盐</w:t>
      </w:r>
      <w:r>
        <w:rPr>
          <w:rFonts w:hint="eastAsia" w:eastAsia="仿宋_GB2312"/>
          <w:sz w:val="32"/>
          <w:szCs w:val="32"/>
          <w:lang w:eastAsia="zh-CN"/>
        </w:rPr>
        <w:t>超标</w:t>
      </w:r>
      <w:r>
        <w:rPr>
          <w:rFonts w:hint="eastAsia" w:eastAsia="仿宋_GB2312"/>
          <w:sz w:val="32"/>
          <w:szCs w:val="32"/>
        </w:rPr>
        <w:t>的食品会危害人体健康。</w:t>
      </w:r>
      <w:r>
        <w:rPr>
          <w:rFonts w:eastAsia="仿宋_GB2312"/>
          <w:kern w:val="0"/>
          <w:sz w:val="32"/>
          <w:szCs w:val="32"/>
        </w:rPr>
        <w:t>《食品安全国家标准 食品添加剂使用标准》（</w:t>
      </w:r>
      <w:r>
        <w:rPr>
          <w:rFonts w:ascii="Times New Roman" w:hAnsi="Times New Roman" w:eastAsia="仿宋_GB2312"/>
          <w:kern w:val="0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2014</w:t>
      </w:r>
      <w:r>
        <w:rPr>
          <w:rFonts w:eastAsia="仿宋_GB2312"/>
          <w:kern w:val="0"/>
          <w:sz w:val="32"/>
          <w:szCs w:val="32"/>
        </w:rPr>
        <w:t>）中规定，脱氢乙酸</w:t>
      </w:r>
      <w:r>
        <w:rPr>
          <w:rFonts w:hint="eastAsia" w:eastAsia="仿宋_GB2312"/>
          <w:kern w:val="0"/>
          <w:sz w:val="32"/>
          <w:szCs w:val="32"/>
        </w:rPr>
        <w:t>及其钠盐在豆干类产品</w:t>
      </w:r>
      <w:r>
        <w:rPr>
          <w:rFonts w:eastAsia="仿宋_GB2312"/>
          <w:kern w:val="0"/>
          <w:sz w:val="32"/>
          <w:szCs w:val="32"/>
        </w:rPr>
        <w:t>不得使用。</w:t>
      </w:r>
      <w:r>
        <w:rPr>
          <w:rFonts w:hint="eastAsia" w:eastAsia="仿宋_GB2312"/>
          <w:kern w:val="0"/>
          <w:sz w:val="32"/>
          <w:szCs w:val="32"/>
        </w:rPr>
        <w:t>豆干</w:t>
      </w:r>
      <w:r>
        <w:rPr>
          <w:rFonts w:eastAsia="仿宋_GB2312"/>
          <w:kern w:val="0"/>
          <w:sz w:val="32"/>
          <w:szCs w:val="32"/>
        </w:rPr>
        <w:t>中</w:t>
      </w:r>
      <w:r>
        <w:rPr>
          <w:rFonts w:hint="eastAsia" w:eastAsia="仿宋_GB2312"/>
          <w:kern w:val="0"/>
          <w:sz w:val="32"/>
          <w:szCs w:val="32"/>
        </w:rPr>
        <w:t>检出</w:t>
      </w:r>
      <w:r>
        <w:rPr>
          <w:rFonts w:eastAsia="仿宋_GB2312"/>
          <w:kern w:val="0"/>
          <w:sz w:val="32"/>
          <w:szCs w:val="32"/>
        </w:rPr>
        <w:t>脱氢乙酸</w:t>
      </w:r>
      <w:r>
        <w:rPr>
          <w:rFonts w:hint="eastAsia" w:eastAsia="仿宋_GB2312"/>
          <w:kern w:val="0"/>
          <w:sz w:val="32"/>
          <w:szCs w:val="32"/>
        </w:rPr>
        <w:t>及其钠盐（以脱氢乙酸计）</w:t>
      </w:r>
      <w:r>
        <w:rPr>
          <w:rFonts w:eastAsia="仿宋_GB2312"/>
          <w:kern w:val="0"/>
          <w:sz w:val="32"/>
          <w:szCs w:val="32"/>
        </w:rPr>
        <w:t>的原因，可能是</w:t>
      </w:r>
      <w:r>
        <w:rPr>
          <w:rFonts w:hint="eastAsia" w:eastAsia="仿宋_GB2312"/>
          <w:kern w:val="0"/>
          <w:sz w:val="32"/>
          <w:szCs w:val="32"/>
        </w:rPr>
        <w:t>个别</w:t>
      </w:r>
      <w:r>
        <w:rPr>
          <w:rFonts w:eastAsia="仿宋_GB2312"/>
          <w:kern w:val="0"/>
          <w:sz w:val="32"/>
          <w:szCs w:val="32"/>
        </w:rPr>
        <w:t>企业为</w:t>
      </w:r>
      <w:r>
        <w:rPr>
          <w:rFonts w:hint="eastAsia" w:eastAsia="仿宋_GB2312"/>
          <w:kern w:val="0"/>
          <w:sz w:val="32"/>
          <w:szCs w:val="32"/>
        </w:rPr>
        <w:t>减缓</w:t>
      </w:r>
      <w:r>
        <w:rPr>
          <w:rFonts w:hint="eastAsia" w:eastAsia="仿宋_GB2312"/>
          <w:sz w:val="32"/>
          <w:szCs w:val="32"/>
        </w:rPr>
        <w:t>产</w:t>
      </w:r>
      <w:r>
        <w:rPr>
          <w:rFonts w:eastAsia="仿宋_GB2312"/>
          <w:sz w:val="32"/>
          <w:szCs w:val="32"/>
        </w:rPr>
        <w:t>品腐败变质超范围使用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也可能是对原辅料管控不足由</w:t>
      </w:r>
      <w:r>
        <w:rPr>
          <w:rFonts w:eastAsia="仿宋_GB2312"/>
          <w:sz w:val="32"/>
          <w:szCs w:val="32"/>
        </w:rPr>
        <w:t>其使用的复配添加剂</w:t>
      </w:r>
      <w:r>
        <w:rPr>
          <w:rFonts w:hint="eastAsia" w:eastAsia="仿宋_GB2312"/>
          <w:sz w:val="32"/>
          <w:szCs w:val="32"/>
        </w:rPr>
        <w:t>引入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十一、</w:t>
      </w:r>
      <w:r>
        <w:rPr>
          <w:rFonts w:hint="eastAsia" w:ascii="Times New Roman" w:hAnsi="Times New Roman" w:eastAsia="黑体"/>
          <w:spacing w:val="-12"/>
          <w:sz w:val="32"/>
          <w:szCs w:val="32"/>
        </w:rPr>
        <w:t>酸价（以脂肪计）</w:t>
      </w:r>
    </w:p>
    <w:p>
      <w:pPr>
        <w:autoSpaceDE w:val="0"/>
        <w:autoSpaceDN w:val="0"/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酸价</w:t>
      </w:r>
      <w:r>
        <w:rPr>
          <w:rFonts w:hint="eastAsia" w:ascii="Times New Roman" w:hAnsi="Times New Roman" w:eastAsia="仿宋_GB2312"/>
          <w:sz w:val="32"/>
          <w:szCs w:val="32"/>
        </w:rPr>
        <w:t>，又称酸值，</w:t>
      </w:r>
      <w:r>
        <w:rPr>
          <w:rFonts w:ascii="Times New Roman" w:hAnsi="Times New Roman" w:eastAsia="仿宋_GB2312"/>
          <w:sz w:val="32"/>
          <w:szCs w:val="32"/>
        </w:rPr>
        <w:t>主要反映食品中的油脂酸败程度。酸价超标会导致食品有哈喇味，超标严重时所产生的醛、酮、酸会破坏脂溶性维生素，导致肠胃不适。</w:t>
      </w:r>
      <w:r>
        <w:rPr>
          <w:rFonts w:hint="eastAsia" w:ascii="Times New Roman" w:hAnsi="Times New Roman" w:eastAsia="仿宋_GB2312"/>
          <w:sz w:val="32"/>
          <w:szCs w:val="32"/>
        </w:rPr>
        <w:t>《马铃薯片》（QB/T 2686—2005）中规定，马铃薯片中酸价（以脂肪计）的最大限量值为3.0mg/g。薯类和膨化食品中酸价（以脂肪计）检测值超标的原因，可能是企业原料采购把关不严，也可能是生产工艺不达标，还可能与产品储藏条件不当有关。</w:t>
      </w:r>
    </w:p>
    <w:p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pStyle w:val="5"/>
        <w:widowControl/>
        <w:spacing w:beforeAutospacing="0" w:afterAutospacing="0" w:line="594" w:lineRule="exact"/>
        <w:ind w:firstLine="592" w:firstLineChars="200"/>
        <w:jc w:val="both"/>
        <w:rPr>
          <w:rFonts w:ascii="Times New Roman" w:hAnsi="Times New Roman" w:eastAsia="仿宋_GB2312"/>
          <w:spacing w:val="-12"/>
          <w:sz w:val="32"/>
          <w:szCs w:val="32"/>
        </w:rPr>
      </w:pPr>
    </w:p>
    <w:p>
      <w:pPr>
        <w:numPr>
          <w:ilvl w:val="255"/>
          <w:numId w:val="0"/>
        </w:num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  <w:highlight w:val="red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D456B1-B86A-4605-9606-DFBF3CD4A14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752401C-7BA0-4515-A527-9B000EF41A9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2DD5A1E-2D4C-423B-AE28-926ECA2404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FF65EA-0FE2-4745-8361-D48378D22B5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attachedTemplate r:id="rId1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85137"/>
    <w:rsid w:val="000119D5"/>
    <w:rsid w:val="000276F3"/>
    <w:rsid w:val="00045657"/>
    <w:rsid w:val="000868BD"/>
    <w:rsid w:val="0009071C"/>
    <w:rsid w:val="00097E81"/>
    <w:rsid w:val="000D132D"/>
    <w:rsid w:val="0010777E"/>
    <w:rsid w:val="00132617"/>
    <w:rsid w:val="00142BDE"/>
    <w:rsid w:val="0015345E"/>
    <w:rsid w:val="0016111E"/>
    <w:rsid w:val="00217ABC"/>
    <w:rsid w:val="0022639E"/>
    <w:rsid w:val="00235BCF"/>
    <w:rsid w:val="00256527"/>
    <w:rsid w:val="00263FF9"/>
    <w:rsid w:val="0029033E"/>
    <w:rsid w:val="003247C4"/>
    <w:rsid w:val="00366A48"/>
    <w:rsid w:val="003863E8"/>
    <w:rsid w:val="003B6CD4"/>
    <w:rsid w:val="003E4738"/>
    <w:rsid w:val="00407D86"/>
    <w:rsid w:val="00425E6A"/>
    <w:rsid w:val="00447299"/>
    <w:rsid w:val="00457F63"/>
    <w:rsid w:val="004D036B"/>
    <w:rsid w:val="004D0CC7"/>
    <w:rsid w:val="00503DE6"/>
    <w:rsid w:val="00506671"/>
    <w:rsid w:val="00514B88"/>
    <w:rsid w:val="005216E2"/>
    <w:rsid w:val="005341A4"/>
    <w:rsid w:val="00565D70"/>
    <w:rsid w:val="00576235"/>
    <w:rsid w:val="0057719D"/>
    <w:rsid w:val="005A6A35"/>
    <w:rsid w:val="005A758A"/>
    <w:rsid w:val="005C0139"/>
    <w:rsid w:val="005E7727"/>
    <w:rsid w:val="00603050"/>
    <w:rsid w:val="0063060D"/>
    <w:rsid w:val="00643647"/>
    <w:rsid w:val="0069070D"/>
    <w:rsid w:val="006E25C7"/>
    <w:rsid w:val="006E3529"/>
    <w:rsid w:val="007114C3"/>
    <w:rsid w:val="00716E8E"/>
    <w:rsid w:val="00724357"/>
    <w:rsid w:val="00741E8B"/>
    <w:rsid w:val="00742D85"/>
    <w:rsid w:val="0075229C"/>
    <w:rsid w:val="0076297A"/>
    <w:rsid w:val="00791E2E"/>
    <w:rsid w:val="007C55DC"/>
    <w:rsid w:val="00800E6D"/>
    <w:rsid w:val="00821EE7"/>
    <w:rsid w:val="00845504"/>
    <w:rsid w:val="00846448"/>
    <w:rsid w:val="00897065"/>
    <w:rsid w:val="008A48FA"/>
    <w:rsid w:val="008A5021"/>
    <w:rsid w:val="008B15D7"/>
    <w:rsid w:val="008C1364"/>
    <w:rsid w:val="008E32F5"/>
    <w:rsid w:val="008E5099"/>
    <w:rsid w:val="008F021C"/>
    <w:rsid w:val="00900777"/>
    <w:rsid w:val="0093073B"/>
    <w:rsid w:val="00960313"/>
    <w:rsid w:val="00970BC3"/>
    <w:rsid w:val="00974858"/>
    <w:rsid w:val="009B4783"/>
    <w:rsid w:val="00A010B9"/>
    <w:rsid w:val="00A0353B"/>
    <w:rsid w:val="00A636E2"/>
    <w:rsid w:val="00A65461"/>
    <w:rsid w:val="00A8267D"/>
    <w:rsid w:val="00A93A64"/>
    <w:rsid w:val="00AA1D13"/>
    <w:rsid w:val="00AC1A0F"/>
    <w:rsid w:val="00AD27DE"/>
    <w:rsid w:val="00AD3EE2"/>
    <w:rsid w:val="00AE2315"/>
    <w:rsid w:val="00B11ADD"/>
    <w:rsid w:val="00B120F7"/>
    <w:rsid w:val="00B84C80"/>
    <w:rsid w:val="00B86D48"/>
    <w:rsid w:val="00BA3536"/>
    <w:rsid w:val="00BB0DB0"/>
    <w:rsid w:val="00BD226E"/>
    <w:rsid w:val="00BE2953"/>
    <w:rsid w:val="00BF347C"/>
    <w:rsid w:val="00C014BF"/>
    <w:rsid w:val="00C05113"/>
    <w:rsid w:val="00C10C4F"/>
    <w:rsid w:val="00C34DC8"/>
    <w:rsid w:val="00C65F31"/>
    <w:rsid w:val="00C86322"/>
    <w:rsid w:val="00C9799C"/>
    <w:rsid w:val="00CA268A"/>
    <w:rsid w:val="00CB78B8"/>
    <w:rsid w:val="00CD2A83"/>
    <w:rsid w:val="00D17AEE"/>
    <w:rsid w:val="00D501B0"/>
    <w:rsid w:val="00D5279F"/>
    <w:rsid w:val="00D83AA0"/>
    <w:rsid w:val="00D87B22"/>
    <w:rsid w:val="00D93034"/>
    <w:rsid w:val="00DA0BCC"/>
    <w:rsid w:val="00DC3698"/>
    <w:rsid w:val="00DD476E"/>
    <w:rsid w:val="00E00F1F"/>
    <w:rsid w:val="00E21F73"/>
    <w:rsid w:val="00E43414"/>
    <w:rsid w:val="00E51E77"/>
    <w:rsid w:val="00E5774B"/>
    <w:rsid w:val="00E8121D"/>
    <w:rsid w:val="00E82C94"/>
    <w:rsid w:val="00E90AF7"/>
    <w:rsid w:val="00EA77E3"/>
    <w:rsid w:val="00ED0DA7"/>
    <w:rsid w:val="00ED21A0"/>
    <w:rsid w:val="00EF6B02"/>
    <w:rsid w:val="00F05932"/>
    <w:rsid w:val="00F075AE"/>
    <w:rsid w:val="00F12C9B"/>
    <w:rsid w:val="00F1347C"/>
    <w:rsid w:val="00F80202"/>
    <w:rsid w:val="00FA490E"/>
    <w:rsid w:val="016A0DDF"/>
    <w:rsid w:val="01726242"/>
    <w:rsid w:val="02E57613"/>
    <w:rsid w:val="085C22CC"/>
    <w:rsid w:val="15B85137"/>
    <w:rsid w:val="16041BA6"/>
    <w:rsid w:val="2DE7759F"/>
    <w:rsid w:val="361B61C7"/>
    <w:rsid w:val="3E9C2B0A"/>
    <w:rsid w:val="3ECA4CD4"/>
    <w:rsid w:val="479E0D55"/>
    <w:rsid w:val="479F10DC"/>
    <w:rsid w:val="4AFE195C"/>
    <w:rsid w:val="4B5562A0"/>
    <w:rsid w:val="4BB531DC"/>
    <w:rsid w:val="4BC323F1"/>
    <w:rsid w:val="532E3A5B"/>
    <w:rsid w:val="5B0203A0"/>
    <w:rsid w:val="60FD15F7"/>
    <w:rsid w:val="6A7A5576"/>
    <w:rsid w:val="6D535020"/>
    <w:rsid w:val="6E0005AE"/>
    <w:rsid w:val="6ED3511D"/>
    <w:rsid w:val="74A44FDB"/>
    <w:rsid w:val="75856B41"/>
    <w:rsid w:val="783E388D"/>
    <w:rsid w:val="7CCD4AFB"/>
    <w:rsid w:val="7D2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1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EB576F-9086-497F-801B-156EF3E4C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359</Words>
  <Characters>2047</Characters>
  <Lines>17</Lines>
  <Paragraphs>4</Paragraphs>
  <TotalTime>11</TotalTime>
  <ScaleCrop>false</ScaleCrop>
  <LinksUpToDate>false</LinksUpToDate>
  <CharactersWithSpaces>2402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薛莹</cp:lastModifiedBy>
  <dcterms:modified xsi:type="dcterms:W3CDTF">2021-03-26T02:54:20Z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