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Times New Roman" w:hAnsi="Times New Roman" w:eastAsia="黑体"/>
          <w:spacing w:val="-12"/>
          <w:sz w:val="44"/>
          <w:szCs w:val="44"/>
        </w:rPr>
      </w:pPr>
      <w:bookmarkStart w:id="3" w:name="_GoBack"/>
      <w:bookmarkEnd w:id="3"/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1</w:t>
      </w:r>
    </w:p>
    <w:p>
      <w:pPr>
        <w:spacing w:line="594" w:lineRule="exact"/>
        <w:jc w:val="center"/>
        <w:rPr>
          <w:rFonts w:ascii="Times New Roman" w:hAnsi="Times New Roman" w:eastAsia="方正小标宋简体"/>
          <w:spacing w:val="-12"/>
          <w:sz w:val="44"/>
          <w:szCs w:val="44"/>
        </w:rPr>
      </w:pPr>
      <w:r>
        <w:rPr>
          <w:rFonts w:hint="eastAsia" w:ascii="Times New Roman" w:hAnsi="Times New Roman" w:eastAsia="方正小标宋简体"/>
          <w:spacing w:val="-12"/>
          <w:sz w:val="44"/>
          <w:szCs w:val="44"/>
        </w:rPr>
        <w:t>部分不合格检验项目小知识</w:t>
      </w:r>
    </w:p>
    <w:p>
      <w:pPr>
        <w:spacing w:line="594" w:lineRule="exact"/>
        <w:rPr>
          <w:rFonts w:ascii="Times New Roman" w:hAnsi="Times New Roman" w:eastAsia="方正小标宋简体"/>
          <w:spacing w:val="-12"/>
          <w:sz w:val="44"/>
          <w:szCs w:val="44"/>
        </w:rPr>
      </w:pPr>
    </w:p>
    <w:p>
      <w:pPr>
        <w:spacing w:line="594" w:lineRule="exact"/>
        <w:ind w:firstLine="592" w:firstLineChars="200"/>
        <w:rPr>
          <w:rFonts w:eastAsia="黑体"/>
          <w:spacing w:val="-12"/>
          <w:sz w:val="32"/>
          <w:szCs w:val="32"/>
        </w:rPr>
      </w:pPr>
      <w:r>
        <w:rPr>
          <w:rFonts w:hint="eastAsia" w:eastAsia="黑体"/>
          <w:spacing w:val="-12"/>
          <w:sz w:val="32"/>
          <w:szCs w:val="32"/>
        </w:rPr>
        <w:t>一、菌落总数</w:t>
      </w:r>
    </w:p>
    <w:p>
      <w:pPr>
        <w:pStyle w:val="8"/>
        <w:spacing w:line="594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菌落总数是指示性微生物指标，不是致病菌指标，反映食品在生产过程中的卫生状况。如果食品的菌落总数严重超标，将会破坏食品的营养成分，使食品失去食用价值；还会加速食品腐败变质，可能危害人体健康。</w:t>
      </w:r>
      <w:r>
        <w:rPr>
          <w:rFonts w:ascii="Times New Roman" w:hAnsi="Times New Roman" w:eastAsia="仿宋_GB2312"/>
          <w:sz w:val="32"/>
          <w:szCs w:val="32"/>
        </w:rPr>
        <w:t>《食品安全国家标准 熟肉制品》（GB 2726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2016）中规定，熟肉制品（除发酵肉制品外）</w:t>
      </w:r>
      <w:r>
        <w:rPr>
          <w:rFonts w:hint="eastAsia" w:ascii="Times New Roman" w:hAnsi="Times New Roman" w:eastAsia="仿宋_GB2312"/>
          <w:sz w:val="32"/>
          <w:szCs w:val="32"/>
        </w:rPr>
        <w:t>同一批次产品5个样品的</w:t>
      </w:r>
      <w:r>
        <w:rPr>
          <w:rFonts w:ascii="Times New Roman" w:hAnsi="Times New Roman" w:eastAsia="仿宋_GB2312"/>
          <w:sz w:val="32"/>
          <w:szCs w:val="32"/>
        </w:rPr>
        <w:t>检测结果均不得超过10</w:t>
      </w:r>
      <w:r>
        <w:rPr>
          <w:rFonts w:ascii="Times New Roman" w:hAnsi="Times New Roman" w:eastAsia="仿宋_GB2312"/>
          <w:sz w:val="32"/>
          <w:szCs w:val="32"/>
          <w:vertAlign w:val="superscript"/>
        </w:rPr>
        <w:t>5</w:t>
      </w:r>
      <w:r>
        <w:rPr>
          <w:rFonts w:ascii="Times New Roman" w:hAnsi="Times New Roman" w:eastAsia="仿宋_GB2312"/>
          <w:sz w:val="32"/>
          <w:szCs w:val="32"/>
        </w:rPr>
        <w:t>CFU/g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且至少3次检测结果不超过10</w:t>
      </w:r>
      <w:r>
        <w:rPr>
          <w:rFonts w:ascii="Times New Roman" w:hAnsi="Times New Roman" w:eastAsia="仿宋_GB2312"/>
          <w:sz w:val="32"/>
          <w:szCs w:val="32"/>
          <w:vertAlign w:val="superscript"/>
        </w:rPr>
        <w:t>4</w:t>
      </w:r>
      <w:r>
        <w:rPr>
          <w:rFonts w:ascii="Times New Roman" w:hAnsi="Times New Roman" w:eastAsia="仿宋_GB2312"/>
          <w:sz w:val="32"/>
          <w:szCs w:val="32"/>
        </w:rPr>
        <w:t>CFU/g。</w:t>
      </w:r>
      <w:r>
        <w:rPr>
          <w:rFonts w:hint="eastAsia" w:eastAsia="仿宋_GB2312"/>
          <w:sz w:val="32"/>
          <w:szCs w:val="32"/>
        </w:rPr>
        <w:t>《食品安全国家标准 藻类及其制品》（</w:t>
      </w:r>
      <w:r>
        <w:rPr>
          <w:rFonts w:ascii="Times New Roman" w:hAnsi="Times New Roman" w:eastAsia="仿宋_GB2312"/>
          <w:sz w:val="32"/>
          <w:szCs w:val="32"/>
        </w:rPr>
        <w:t>GB 19643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2016</w:t>
      </w:r>
      <w:r>
        <w:rPr>
          <w:rFonts w:hint="eastAsia" w:eastAsia="仿宋_GB2312"/>
          <w:sz w:val="32"/>
          <w:szCs w:val="32"/>
        </w:rPr>
        <w:t>）中规定，即食藻类制品</w:t>
      </w:r>
      <w:r>
        <w:rPr>
          <w:rFonts w:hint="eastAsia" w:ascii="Times New Roman" w:hAnsi="Times New Roman" w:eastAsia="仿宋_GB2312"/>
          <w:sz w:val="32"/>
          <w:szCs w:val="32"/>
        </w:rPr>
        <w:t>同一批次产品5个样品的</w:t>
      </w:r>
      <w:r>
        <w:rPr>
          <w:rFonts w:hint="eastAsia" w:eastAsia="仿宋_GB2312"/>
          <w:sz w:val="32"/>
          <w:szCs w:val="32"/>
        </w:rPr>
        <w:t>检测结果均不得超过</w:t>
      </w:r>
      <w:r>
        <w:rPr>
          <w:rFonts w:ascii="Times New Roman" w:hAnsi="Times New Roman" w:eastAsia="仿宋_GB2312"/>
          <w:sz w:val="32"/>
          <w:szCs w:val="32"/>
        </w:rPr>
        <w:t>10</w:t>
      </w:r>
      <w:r>
        <w:rPr>
          <w:rFonts w:ascii="Times New Roman" w:hAnsi="Times New Roman" w:eastAsia="仿宋_GB2312"/>
          <w:sz w:val="32"/>
          <w:szCs w:val="32"/>
          <w:vertAlign w:val="superscript"/>
        </w:rPr>
        <w:t>5</w:t>
      </w:r>
      <w:r>
        <w:rPr>
          <w:rFonts w:ascii="Times New Roman" w:hAnsi="Times New Roman" w:eastAsia="仿宋_GB2312"/>
          <w:sz w:val="32"/>
          <w:szCs w:val="32"/>
        </w:rPr>
        <w:t>CFU/g</w:t>
      </w:r>
      <w:r>
        <w:rPr>
          <w:rFonts w:hint="eastAsia" w:eastAsia="仿宋_GB2312"/>
          <w:sz w:val="32"/>
          <w:szCs w:val="32"/>
        </w:rPr>
        <w:t>，且至少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次检测结果不超过</w:t>
      </w:r>
      <w:r>
        <w:rPr>
          <w:rFonts w:ascii="Times New Roman" w:hAnsi="Times New Roman" w:eastAsia="仿宋_GB2312"/>
          <w:sz w:val="32"/>
          <w:szCs w:val="32"/>
        </w:rPr>
        <w:t>3×10</w:t>
      </w:r>
      <w:r>
        <w:rPr>
          <w:rFonts w:ascii="Times New Roman" w:hAnsi="Times New Roman" w:eastAsia="仿宋_GB2312"/>
          <w:sz w:val="32"/>
          <w:szCs w:val="32"/>
          <w:vertAlign w:val="superscript"/>
        </w:rPr>
        <w:t>4</w:t>
      </w:r>
      <w:r>
        <w:rPr>
          <w:rFonts w:ascii="Times New Roman" w:hAnsi="Times New Roman" w:eastAsia="仿宋_GB2312"/>
          <w:sz w:val="32"/>
          <w:szCs w:val="32"/>
        </w:rPr>
        <w:t>CFU/g</w:t>
      </w:r>
      <w:r>
        <w:rPr>
          <w:rFonts w:hint="eastAsia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肉制品、</w:t>
      </w:r>
      <w:r>
        <w:rPr>
          <w:rFonts w:hint="eastAsia" w:eastAsia="仿宋_GB2312"/>
          <w:sz w:val="32"/>
          <w:szCs w:val="32"/>
        </w:rPr>
        <w:t>即食藻类制品</w:t>
      </w:r>
      <w:r>
        <w:rPr>
          <w:rFonts w:hint="eastAsia" w:ascii="Times New Roman" w:hAnsi="Times New Roman" w:eastAsia="仿宋_GB2312"/>
          <w:sz w:val="32"/>
          <w:szCs w:val="32"/>
        </w:rPr>
        <w:t>中</w:t>
      </w:r>
      <w:r>
        <w:rPr>
          <w:rFonts w:ascii="Times New Roman" w:hAnsi="Times New Roman" w:eastAsia="仿宋_GB2312"/>
          <w:sz w:val="32"/>
          <w:szCs w:val="32"/>
        </w:rPr>
        <w:t>菌落总数超标</w:t>
      </w:r>
      <w:r>
        <w:rPr>
          <w:rFonts w:hint="eastAsia" w:ascii="Times New Roman" w:hAnsi="Times New Roman" w:eastAsia="仿宋_GB2312"/>
          <w:sz w:val="32"/>
          <w:szCs w:val="32"/>
        </w:rPr>
        <w:t>的原因，</w:t>
      </w:r>
      <w:r>
        <w:rPr>
          <w:rFonts w:ascii="Times New Roman" w:hAnsi="Times New Roman" w:eastAsia="仿宋_GB2312"/>
          <w:sz w:val="32"/>
          <w:szCs w:val="32"/>
        </w:rPr>
        <w:t>可能是企业未按要求严格控制生产加工过程的卫生条件</w:t>
      </w:r>
      <w:r>
        <w:rPr>
          <w:rFonts w:hint="eastAsia" w:ascii="Times New Roman" w:hAnsi="Times New Roman" w:eastAsia="仿宋_GB2312"/>
          <w:sz w:val="32"/>
          <w:szCs w:val="32"/>
        </w:rPr>
        <w:t>，也可能</w:t>
      </w:r>
      <w:r>
        <w:rPr>
          <w:rFonts w:ascii="Times New Roman" w:hAnsi="Times New Roman" w:eastAsia="仿宋_GB2312"/>
          <w:sz w:val="32"/>
          <w:szCs w:val="32"/>
        </w:rPr>
        <w:t>与产品包装密封不严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储运条件不当等有关。</w:t>
      </w:r>
    </w:p>
    <w:p>
      <w:pPr>
        <w:pStyle w:val="5"/>
        <w:widowControl/>
        <w:spacing w:beforeAutospacing="0" w:afterAutospacing="0"/>
        <w:ind w:firstLine="592" w:firstLineChars="200"/>
        <w:jc w:val="both"/>
        <w:rPr>
          <w:rFonts w:ascii="Times New Roman" w:hAnsi="Times New Roman" w:eastAsia="仿宋_GB2312"/>
          <w:kern w:val="2"/>
          <w:sz w:val="32"/>
          <w:szCs w:val="32"/>
        </w:rPr>
      </w:pPr>
      <w:bookmarkStart w:id="0" w:name="_Toc30283"/>
      <w:bookmarkStart w:id="1" w:name="_Toc14504"/>
      <w:r>
        <w:rPr>
          <w:rFonts w:hint="eastAsia" w:ascii="黑体" w:hAnsi="黑体" w:eastAsia="黑体"/>
          <w:spacing w:val="-12"/>
          <w:sz w:val="32"/>
          <w:szCs w:val="32"/>
        </w:rPr>
        <w:t>二、孔雀石绿</w:t>
      </w:r>
    </w:p>
    <w:p>
      <w:pPr>
        <w:pStyle w:val="5"/>
        <w:widowControl/>
        <w:spacing w:beforeAutospacing="0" w:afterAutospacing="0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孔雀石绿是一种工业染料，因具有杀菌和抗寄生虫的作用，曾用于水产养殖。孔雀石绿及隐色孔雀石绿均对人体肝脏具有潜在致癌性。长期食用检出孔雀石绿的食品，将会危害人体健康。《食品动物中禁止使用的药品及其他化合物清单》（农业农村部公告 第</w:t>
      </w:r>
      <w:r>
        <w:rPr>
          <w:rFonts w:ascii="Times New Roman" w:hAnsi="Times New Roman" w:eastAsia="仿宋_GB2312"/>
          <w:sz w:val="32"/>
          <w:szCs w:val="32"/>
        </w:rPr>
        <w:t>250</w:t>
      </w:r>
      <w:r>
        <w:rPr>
          <w:rFonts w:hint="eastAsia" w:ascii="仿宋_GB2312" w:eastAsia="仿宋_GB2312"/>
          <w:sz w:val="32"/>
          <w:szCs w:val="32"/>
        </w:rPr>
        <w:t>号）中规定，孔雀石绿为食品动物中禁止使用的药品（在动物性食品中不得检出）。贝类中检出孔雀石绿的原因，可能是在养殖过程中违规使用。</w:t>
      </w:r>
    </w:p>
    <w:bookmarkEnd w:id="0"/>
    <w:bookmarkEnd w:id="1"/>
    <w:p>
      <w:pPr>
        <w:spacing w:line="594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、腐霉利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腐霉利是一种广谱内吸性的高效杀菌剂，对低温高湿条件下发生的灰霉病、菌核病有显著效果，但菌株容易对其产生抗性。少量的残留不会引起人体急性中毒，但长期食用腐霉利超标的食品，可能对人体健康有一定影响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《食品安全国家标准 食品中农药最大残留限量》（GB 2763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2019）</w:t>
      </w:r>
      <w:r>
        <w:rPr>
          <w:rFonts w:hint="eastAsia" w:ascii="Times New Roman" w:hAnsi="Times New Roman" w:eastAsia="仿宋_GB2312"/>
          <w:sz w:val="32"/>
          <w:szCs w:val="32"/>
        </w:rPr>
        <w:t>中</w:t>
      </w:r>
      <w:r>
        <w:rPr>
          <w:rFonts w:ascii="Times New Roman" w:hAnsi="Times New Roman" w:eastAsia="仿宋_GB2312"/>
          <w:sz w:val="32"/>
          <w:szCs w:val="32"/>
        </w:rPr>
        <w:t>规定，腐霉利在韭菜中的最大残留限量值为0.2mg/kg。</w:t>
      </w:r>
      <w:r>
        <w:rPr>
          <w:rFonts w:hint="eastAsia" w:ascii="Times New Roman" w:hAnsi="Times New Roman" w:eastAsia="仿宋_GB2312"/>
          <w:sz w:val="32"/>
          <w:szCs w:val="32"/>
        </w:rPr>
        <w:t>韭菜中腐霉利残留量</w:t>
      </w:r>
      <w:r>
        <w:rPr>
          <w:rFonts w:ascii="Times New Roman" w:hAnsi="Times New Roman" w:eastAsia="仿宋_GB2312"/>
          <w:sz w:val="32"/>
          <w:szCs w:val="32"/>
        </w:rPr>
        <w:t>超标的原因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可能是</w:t>
      </w:r>
      <w:r>
        <w:rPr>
          <w:rFonts w:hint="eastAsia" w:ascii="Times New Roman" w:hAnsi="Times New Roman" w:eastAsia="仿宋_GB2312"/>
          <w:sz w:val="32"/>
          <w:szCs w:val="32"/>
        </w:rPr>
        <w:t>为</w:t>
      </w:r>
      <w:r>
        <w:rPr>
          <w:rFonts w:ascii="Times New Roman" w:hAnsi="Times New Roman" w:eastAsia="仿宋_GB2312"/>
          <w:sz w:val="32"/>
          <w:szCs w:val="32"/>
        </w:rPr>
        <w:t>快速控制病情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加大用药量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未遵守采摘间隔期</w:t>
      </w:r>
      <w:r>
        <w:rPr>
          <w:rFonts w:hint="eastAsia" w:ascii="Times New Roman" w:hAnsi="Times New Roman" w:eastAsia="仿宋_GB2312"/>
          <w:sz w:val="32"/>
          <w:szCs w:val="32"/>
        </w:rPr>
        <w:t>规定</w:t>
      </w:r>
      <w:r>
        <w:rPr>
          <w:rFonts w:ascii="Times New Roman" w:hAnsi="Times New Roman" w:eastAsia="仿宋_GB2312"/>
          <w:sz w:val="32"/>
          <w:szCs w:val="32"/>
        </w:rPr>
        <w:t>，致使上市销售</w:t>
      </w:r>
      <w:r>
        <w:rPr>
          <w:rFonts w:hint="eastAsia" w:ascii="Times New Roman" w:hAnsi="Times New Roman" w:eastAsia="仿宋_GB2312"/>
          <w:sz w:val="32"/>
          <w:szCs w:val="32"/>
        </w:rPr>
        <w:t>的产品中残留量超标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ind w:firstLine="592" w:firstLineChars="200"/>
        <w:rPr>
          <w:rFonts w:ascii="黑体" w:hAnsi="黑体" w:eastAsia="黑体"/>
          <w:spacing w:val="-12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</w:rPr>
        <w:t>四、镉（以</w:t>
      </w:r>
      <w:r>
        <w:rPr>
          <w:rFonts w:ascii="Times New Roman" w:hAnsi="Times New Roman" w:eastAsia="黑体"/>
          <w:spacing w:val="-12"/>
          <w:sz w:val="32"/>
          <w:szCs w:val="32"/>
        </w:rPr>
        <w:t>Cd</w:t>
      </w:r>
      <w:r>
        <w:rPr>
          <w:rFonts w:hint="eastAsia" w:ascii="黑体" w:hAnsi="黑体" w:eastAsia="黑体"/>
          <w:spacing w:val="-12"/>
          <w:sz w:val="32"/>
          <w:szCs w:val="32"/>
        </w:rPr>
        <w:t>计）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镉是一种蓄积性的重金属元素，可通过食物链进入人体。长期食用镉超标的食品，可能会对人体肾脏和肝脏造成损害，还会影响免疫系统，甚至可能对儿童高级神经活动有损害。《食品安全国家标准 食品中污染物限量》</w:t>
      </w:r>
      <w:r>
        <w:rPr>
          <w:rFonts w:hint="eastAsia" w:ascii="Times New Roman" w:hAnsi="Times New Roman" w:eastAsia="仿宋_GB2312"/>
          <w:sz w:val="32"/>
          <w:szCs w:val="32"/>
        </w:rPr>
        <w:t>（GB 2762—2017）规定，</w:t>
      </w:r>
      <w:r>
        <w:rPr>
          <w:rFonts w:hint="eastAsia" w:ascii="仿宋_GB2312" w:eastAsia="仿宋_GB2312"/>
          <w:sz w:val="32"/>
          <w:szCs w:val="32"/>
        </w:rPr>
        <w:t>镉（以</w:t>
      </w:r>
      <w:r>
        <w:rPr>
          <w:rFonts w:ascii="Times New Roman" w:hAnsi="Times New Roman" w:eastAsia="仿宋_GB2312"/>
          <w:sz w:val="32"/>
          <w:szCs w:val="32"/>
        </w:rPr>
        <w:t>Cd</w:t>
      </w:r>
      <w:r>
        <w:rPr>
          <w:rFonts w:hint="eastAsia" w:ascii="仿宋_GB2312" w:eastAsia="仿宋_GB2312"/>
          <w:sz w:val="32"/>
          <w:szCs w:val="32"/>
        </w:rPr>
        <w:t>计）</w:t>
      </w:r>
      <w:r>
        <w:rPr>
          <w:rFonts w:hint="eastAsia" w:ascii="Times New Roman" w:hAnsi="Times New Roman" w:eastAsia="仿宋_GB2312"/>
          <w:sz w:val="32"/>
          <w:szCs w:val="32"/>
        </w:rPr>
        <w:t>在鲜、冻水产动物（甲壳类）中的</w:t>
      </w:r>
      <w:r>
        <w:rPr>
          <w:rFonts w:hint="eastAsia" w:ascii="仿宋_GB2312" w:eastAsia="仿宋_GB2312"/>
          <w:sz w:val="32"/>
          <w:szCs w:val="32"/>
        </w:rPr>
        <w:t>限量值</w:t>
      </w:r>
      <w:r>
        <w:rPr>
          <w:rFonts w:hint="eastAsia" w:ascii="Times New Roman" w:hAnsi="Times New Roman" w:eastAsia="仿宋_GB2312"/>
          <w:sz w:val="32"/>
          <w:szCs w:val="32"/>
        </w:rPr>
        <w:t>为0.5mg/kg。虾蛄中</w:t>
      </w:r>
      <w:r>
        <w:rPr>
          <w:rFonts w:hint="eastAsia" w:ascii="仿宋_GB2312" w:eastAsia="仿宋_GB2312"/>
          <w:sz w:val="32"/>
          <w:szCs w:val="32"/>
        </w:rPr>
        <w:t>镉</w:t>
      </w:r>
      <w:bookmarkStart w:id="2" w:name="_Hlk65673656"/>
      <w:r>
        <w:rPr>
          <w:rFonts w:hint="eastAsia" w:ascii="仿宋_GB2312" w:eastAsia="仿宋_GB2312"/>
          <w:sz w:val="32"/>
          <w:szCs w:val="32"/>
        </w:rPr>
        <w:t>（以</w:t>
      </w:r>
      <w:r>
        <w:rPr>
          <w:rFonts w:ascii="Times New Roman" w:hAnsi="Times New Roman" w:eastAsia="仿宋_GB2312"/>
          <w:sz w:val="32"/>
          <w:szCs w:val="32"/>
        </w:rPr>
        <w:t>Cd</w:t>
      </w:r>
      <w:r>
        <w:rPr>
          <w:rFonts w:hint="eastAsia" w:ascii="仿宋_GB2312" w:eastAsia="仿宋_GB2312"/>
          <w:sz w:val="32"/>
          <w:szCs w:val="32"/>
        </w:rPr>
        <w:t>计）</w:t>
      </w:r>
      <w:bookmarkEnd w:id="2"/>
      <w:r>
        <w:rPr>
          <w:rFonts w:hint="eastAsia" w:ascii="仿宋_GB2312" w:eastAsia="仿宋_GB2312"/>
          <w:sz w:val="32"/>
          <w:szCs w:val="32"/>
        </w:rPr>
        <w:t>检测值</w:t>
      </w:r>
      <w:r>
        <w:rPr>
          <w:rFonts w:hint="eastAsia" w:ascii="Times New Roman" w:hAnsi="Times New Roman" w:eastAsia="仿宋_GB2312"/>
          <w:sz w:val="32"/>
          <w:szCs w:val="32"/>
        </w:rPr>
        <w:t>超标的原因，可能是其生长过程中富集环境中的镉元素所致。</w:t>
      </w:r>
    </w:p>
    <w:p>
      <w:pPr>
        <w:spacing w:line="594" w:lineRule="exact"/>
        <w:ind w:firstLine="592" w:firstLineChars="200"/>
        <w:rPr>
          <w:rFonts w:ascii="Times New Roman" w:hAnsi="Times New Roman" w:eastAsia="黑体"/>
          <w:spacing w:val="-12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</w:rPr>
        <w:t>五、</w:t>
      </w:r>
      <w:r>
        <w:rPr>
          <w:rFonts w:hint="eastAsia" w:ascii="Times New Roman" w:hAnsi="Times New Roman" w:eastAsia="黑体"/>
          <w:spacing w:val="-12"/>
          <w:sz w:val="32"/>
          <w:szCs w:val="32"/>
        </w:rPr>
        <w:t>酸价（以脂肪计）</w:t>
      </w:r>
    </w:p>
    <w:p>
      <w:pPr>
        <w:autoSpaceDE w:val="0"/>
        <w:autoSpaceDN w:val="0"/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酸价</w:t>
      </w:r>
      <w:r>
        <w:rPr>
          <w:rFonts w:hint="eastAsia" w:ascii="Times New Roman" w:hAnsi="Times New Roman" w:eastAsia="仿宋_GB2312"/>
          <w:sz w:val="32"/>
          <w:szCs w:val="32"/>
        </w:rPr>
        <w:t>，又称酸值，</w:t>
      </w:r>
      <w:r>
        <w:rPr>
          <w:rFonts w:ascii="Times New Roman" w:hAnsi="Times New Roman" w:eastAsia="仿宋_GB2312"/>
          <w:sz w:val="32"/>
          <w:szCs w:val="32"/>
        </w:rPr>
        <w:t>主要反映食品中的油脂酸败程度。酸价超标会导致食品有哈喇味，超标严重时所产生的醛、酮、酸会破坏脂溶性维生素，导致肠胃不适。</w:t>
      </w:r>
      <w:r>
        <w:rPr>
          <w:rFonts w:hint="eastAsia" w:ascii="Times New Roman" w:hAnsi="Times New Roman" w:eastAsia="仿宋_GB2312"/>
          <w:sz w:val="32"/>
          <w:szCs w:val="32"/>
        </w:rPr>
        <w:t>《马铃薯片》（QB/T 2686—2005）中规定，马铃薯片中酸价（以脂肪计）的最大限量值为3.0mg/g。薯类和膨化食品中酸价（以脂肪计）检测值超标的原因，可能是企业原料采购把关不严，也可能是生产工艺不达标，还可能与产品储藏条件不当有关。</w:t>
      </w:r>
    </w:p>
    <w:p>
      <w:pPr>
        <w:spacing w:line="594" w:lineRule="exact"/>
        <w:ind w:firstLine="592" w:firstLineChars="200"/>
        <w:rPr>
          <w:rFonts w:eastAsia="方正小标宋简体"/>
          <w:sz w:val="44"/>
          <w:szCs w:val="44"/>
        </w:rPr>
      </w:pPr>
      <w:r>
        <w:rPr>
          <w:rFonts w:hint="eastAsia" w:eastAsia="黑体"/>
          <w:spacing w:val="-12"/>
          <w:sz w:val="32"/>
          <w:szCs w:val="32"/>
        </w:rPr>
        <w:t>六</w:t>
      </w:r>
      <w:r>
        <w:rPr>
          <w:rFonts w:eastAsia="黑体"/>
          <w:spacing w:val="-12"/>
          <w:sz w:val="32"/>
          <w:szCs w:val="32"/>
        </w:rPr>
        <w:t>、氨基酸态氮</w:t>
      </w:r>
      <w:r>
        <w:rPr>
          <w:rFonts w:hint="eastAsia" w:eastAsia="黑体"/>
          <w:spacing w:val="-12"/>
          <w:sz w:val="32"/>
          <w:szCs w:val="32"/>
        </w:rPr>
        <w:t>（以氮计）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氨基酸态氮是酱油的特征性品质指标之一，氨基酸态氮含量越高，酱油鲜味越浓，反映酱油的质量越好。氨基酸态氮不合格主要影响产品的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品质</w:t>
      </w:r>
      <w:r>
        <w:rPr>
          <w:rFonts w:ascii="Times New Roman" w:hAnsi="Times New Roman" w:eastAsia="仿宋_GB2312"/>
          <w:sz w:val="32"/>
          <w:szCs w:val="32"/>
        </w:rPr>
        <w:t>。《食品安全国家标准 酱油》（GB 2717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2018）中规定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酱油中</w:t>
      </w:r>
      <w:r>
        <w:rPr>
          <w:rFonts w:ascii="Times New Roman" w:hAnsi="Times New Roman" w:eastAsia="仿宋_GB2312"/>
          <w:kern w:val="0"/>
          <w:sz w:val="32"/>
          <w:szCs w:val="32"/>
        </w:rPr>
        <w:t>氨基酸</w:t>
      </w:r>
      <w:r>
        <w:rPr>
          <w:rFonts w:ascii="Times New Roman" w:hAnsi="Times New Roman" w:eastAsia="仿宋_GB2312"/>
          <w:sz w:val="32"/>
          <w:szCs w:val="32"/>
        </w:rPr>
        <w:t>态氮</w:t>
      </w:r>
      <w:r>
        <w:rPr>
          <w:rFonts w:hint="eastAsia" w:ascii="Times New Roman" w:hAnsi="Times New Roman" w:eastAsia="仿宋_GB2312"/>
          <w:sz w:val="32"/>
          <w:szCs w:val="32"/>
        </w:rPr>
        <w:t>含量不得低于</w:t>
      </w:r>
      <w:r>
        <w:rPr>
          <w:rFonts w:ascii="Times New Roman" w:hAnsi="Times New Roman" w:eastAsia="仿宋_GB2312"/>
          <w:sz w:val="32"/>
          <w:szCs w:val="32"/>
        </w:rPr>
        <w:t>0.4g/100mL，该批次产品中氨基酸态氮的</w:t>
      </w:r>
      <w:r>
        <w:rPr>
          <w:rFonts w:hint="eastAsia" w:ascii="Times New Roman" w:hAnsi="Times New Roman" w:eastAsia="仿宋_GB2312"/>
          <w:sz w:val="32"/>
          <w:szCs w:val="32"/>
        </w:rPr>
        <w:t>含量</w:t>
      </w:r>
      <w:r>
        <w:rPr>
          <w:rFonts w:ascii="Times New Roman" w:hAnsi="Times New Roman" w:eastAsia="仿宋_GB2312"/>
          <w:sz w:val="32"/>
          <w:szCs w:val="32"/>
        </w:rPr>
        <w:t>不符合食品安全国家标准规定，也不符合标签明示值</w:t>
      </w:r>
      <w:r>
        <w:rPr>
          <w:rFonts w:hint="eastAsia" w:ascii="Times New Roman" w:hAnsi="Times New Roman" w:eastAsia="仿宋_GB2312"/>
          <w:sz w:val="32"/>
          <w:szCs w:val="32"/>
        </w:rPr>
        <w:t>要求</w:t>
      </w:r>
      <w:r>
        <w:rPr>
          <w:rFonts w:ascii="Times New Roman" w:hAnsi="Times New Roman" w:eastAsia="仿宋_GB2312"/>
          <w:sz w:val="32"/>
          <w:szCs w:val="32"/>
        </w:rPr>
        <w:t>“氨基酸态氮≥0.40g/100mL”。酱油</w:t>
      </w:r>
      <w:r>
        <w:rPr>
          <w:rFonts w:hint="eastAsia" w:ascii="Times New Roman" w:hAnsi="Times New Roman" w:eastAsia="仿宋_GB2312"/>
          <w:sz w:val="32"/>
          <w:szCs w:val="32"/>
        </w:rPr>
        <w:t>中</w:t>
      </w:r>
      <w:r>
        <w:rPr>
          <w:rFonts w:ascii="Times New Roman" w:hAnsi="Times New Roman" w:eastAsia="仿宋_GB2312"/>
          <w:sz w:val="32"/>
          <w:szCs w:val="32"/>
        </w:rPr>
        <w:t>氨基酸态氮</w:t>
      </w:r>
      <w:r>
        <w:rPr>
          <w:rFonts w:hint="eastAsia" w:ascii="Times New Roman" w:hAnsi="Times New Roman" w:eastAsia="仿宋_GB2312"/>
          <w:sz w:val="32"/>
          <w:szCs w:val="32"/>
        </w:rPr>
        <w:t>（以氮计）</w:t>
      </w:r>
      <w:r>
        <w:rPr>
          <w:rFonts w:ascii="Times New Roman" w:hAnsi="Times New Roman" w:eastAsia="仿宋_GB2312"/>
          <w:sz w:val="32"/>
          <w:szCs w:val="32"/>
        </w:rPr>
        <w:t>含量不</w:t>
      </w:r>
      <w:r>
        <w:rPr>
          <w:rFonts w:hint="eastAsia" w:ascii="Times New Roman" w:hAnsi="Times New Roman" w:eastAsia="仿宋_GB2312"/>
          <w:sz w:val="32"/>
          <w:szCs w:val="32"/>
        </w:rPr>
        <w:t>达标的</w:t>
      </w:r>
      <w:r>
        <w:rPr>
          <w:rFonts w:ascii="Times New Roman" w:hAnsi="Times New Roman" w:eastAsia="仿宋_GB2312"/>
          <w:sz w:val="32"/>
          <w:szCs w:val="32"/>
        </w:rPr>
        <w:t>原因，可能是原料采购环节质量把关不严；也可能是企业生产工艺控制不严，如酿造周期未达要求；还可能是企业在生产过程中为降低成本而</w:t>
      </w:r>
      <w:r>
        <w:rPr>
          <w:rFonts w:hint="eastAsia" w:ascii="Times New Roman" w:hAnsi="Times New Roman" w:eastAsia="仿宋_GB2312"/>
          <w:sz w:val="32"/>
          <w:szCs w:val="32"/>
        </w:rPr>
        <w:t>以次充好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eastAsia="仿宋_GB2312"/>
          <w:kern w:val="0"/>
          <w:sz w:val="32"/>
          <w:szCs w:val="32"/>
          <w:highlight w:val="red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B1C82A-0E54-412B-8D15-2CCD4DE6D7B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A248410-8AE6-40B3-89BF-DA8642325EC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A6F27D9-8424-4DD7-AAA3-720E72F4B39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3FCE8B5-9B9F-4903-94C1-BE31B6FC42CC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082768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attachedTemplate r:id="rId1"/>
  <w:revisionView w:markup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85137"/>
    <w:rsid w:val="000119D5"/>
    <w:rsid w:val="000276F3"/>
    <w:rsid w:val="00027795"/>
    <w:rsid w:val="00045657"/>
    <w:rsid w:val="000868BD"/>
    <w:rsid w:val="0009071C"/>
    <w:rsid w:val="000D132D"/>
    <w:rsid w:val="000F0758"/>
    <w:rsid w:val="0010777E"/>
    <w:rsid w:val="00113C75"/>
    <w:rsid w:val="001410BA"/>
    <w:rsid w:val="00142BDE"/>
    <w:rsid w:val="0015345E"/>
    <w:rsid w:val="00187621"/>
    <w:rsid w:val="00217ABC"/>
    <w:rsid w:val="002412D4"/>
    <w:rsid w:val="00256527"/>
    <w:rsid w:val="00257728"/>
    <w:rsid w:val="00263FF9"/>
    <w:rsid w:val="0029033E"/>
    <w:rsid w:val="002C250A"/>
    <w:rsid w:val="002E7666"/>
    <w:rsid w:val="002F0F81"/>
    <w:rsid w:val="003317D8"/>
    <w:rsid w:val="00366A48"/>
    <w:rsid w:val="003863E8"/>
    <w:rsid w:val="003B6975"/>
    <w:rsid w:val="003B6CD4"/>
    <w:rsid w:val="00407D86"/>
    <w:rsid w:val="00425E6A"/>
    <w:rsid w:val="00447299"/>
    <w:rsid w:val="00457F63"/>
    <w:rsid w:val="0046030B"/>
    <w:rsid w:val="004C45F8"/>
    <w:rsid w:val="004D036B"/>
    <w:rsid w:val="004D0CC7"/>
    <w:rsid w:val="004E1734"/>
    <w:rsid w:val="00503DE6"/>
    <w:rsid w:val="00506671"/>
    <w:rsid w:val="00514B88"/>
    <w:rsid w:val="005216E2"/>
    <w:rsid w:val="005341A4"/>
    <w:rsid w:val="00565CA0"/>
    <w:rsid w:val="00565D70"/>
    <w:rsid w:val="00576235"/>
    <w:rsid w:val="0057719D"/>
    <w:rsid w:val="005A6A35"/>
    <w:rsid w:val="005A758A"/>
    <w:rsid w:val="005C0139"/>
    <w:rsid w:val="005D5874"/>
    <w:rsid w:val="005E7727"/>
    <w:rsid w:val="005F4A17"/>
    <w:rsid w:val="00603050"/>
    <w:rsid w:val="00642583"/>
    <w:rsid w:val="00643647"/>
    <w:rsid w:val="00647120"/>
    <w:rsid w:val="00660C04"/>
    <w:rsid w:val="006D6739"/>
    <w:rsid w:val="006E0279"/>
    <w:rsid w:val="006E25C7"/>
    <w:rsid w:val="006E3529"/>
    <w:rsid w:val="007114C3"/>
    <w:rsid w:val="00716E8E"/>
    <w:rsid w:val="00724357"/>
    <w:rsid w:val="00741E8B"/>
    <w:rsid w:val="00742D85"/>
    <w:rsid w:val="0074591D"/>
    <w:rsid w:val="0074693B"/>
    <w:rsid w:val="007522CB"/>
    <w:rsid w:val="0076297A"/>
    <w:rsid w:val="007A49B7"/>
    <w:rsid w:val="007C55DC"/>
    <w:rsid w:val="00800E6D"/>
    <w:rsid w:val="00821EE7"/>
    <w:rsid w:val="00845504"/>
    <w:rsid w:val="00846448"/>
    <w:rsid w:val="00897065"/>
    <w:rsid w:val="008A48FA"/>
    <w:rsid w:val="008A5021"/>
    <w:rsid w:val="008B15D7"/>
    <w:rsid w:val="008B1E52"/>
    <w:rsid w:val="008C1364"/>
    <w:rsid w:val="008E32F5"/>
    <w:rsid w:val="008E5099"/>
    <w:rsid w:val="008F021C"/>
    <w:rsid w:val="00900777"/>
    <w:rsid w:val="0093073B"/>
    <w:rsid w:val="00960313"/>
    <w:rsid w:val="00970BC3"/>
    <w:rsid w:val="00974858"/>
    <w:rsid w:val="009B4783"/>
    <w:rsid w:val="009B7FD1"/>
    <w:rsid w:val="009D5554"/>
    <w:rsid w:val="009E318E"/>
    <w:rsid w:val="009E4B63"/>
    <w:rsid w:val="00A010B9"/>
    <w:rsid w:val="00A0353B"/>
    <w:rsid w:val="00A161D0"/>
    <w:rsid w:val="00A636E2"/>
    <w:rsid w:val="00A65F25"/>
    <w:rsid w:val="00A8267D"/>
    <w:rsid w:val="00A93A64"/>
    <w:rsid w:val="00AA1D13"/>
    <w:rsid w:val="00AC1A0F"/>
    <w:rsid w:val="00AD27DE"/>
    <w:rsid w:val="00AD3EE2"/>
    <w:rsid w:val="00AE2315"/>
    <w:rsid w:val="00B0108A"/>
    <w:rsid w:val="00B11ADD"/>
    <w:rsid w:val="00B120F7"/>
    <w:rsid w:val="00B362BA"/>
    <w:rsid w:val="00B575CE"/>
    <w:rsid w:val="00B84C80"/>
    <w:rsid w:val="00B86D48"/>
    <w:rsid w:val="00BA3536"/>
    <w:rsid w:val="00BB0DB0"/>
    <w:rsid w:val="00BD226E"/>
    <w:rsid w:val="00BE2953"/>
    <w:rsid w:val="00BF347C"/>
    <w:rsid w:val="00C014BF"/>
    <w:rsid w:val="00C05113"/>
    <w:rsid w:val="00C10C4F"/>
    <w:rsid w:val="00C163E6"/>
    <w:rsid w:val="00C34DC8"/>
    <w:rsid w:val="00C65F31"/>
    <w:rsid w:val="00C7152E"/>
    <w:rsid w:val="00C86322"/>
    <w:rsid w:val="00C9799C"/>
    <w:rsid w:val="00CA268A"/>
    <w:rsid w:val="00CB1502"/>
    <w:rsid w:val="00CB78B8"/>
    <w:rsid w:val="00CC4FA3"/>
    <w:rsid w:val="00CD2A83"/>
    <w:rsid w:val="00D501B0"/>
    <w:rsid w:val="00D5279F"/>
    <w:rsid w:val="00D729EB"/>
    <w:rsid w:val="00D83AA0"/>
    <w:rsid w:val="00D87B22"/>
    <w:rsid w:val="00D93034"/>
    <w:rsid w:val="00DA0BCC"/>
    <w:rsid w:val="00DB6D90"/>
    <w:rsid w:val="00DD476E"/>
    <w:rsid w:val="00DE7A03"/>
    <w:rsid w:val="00E00F1F"/>
    <w:rsid w:val="00E21F73"/>
    <w:rsid w:val="00E37B65"/>
    <w:rsid w:val="00E43414"/>
    <w:rsid w:val="00E477FC"/>
    <w:rsid w:val="00E51E77"/>
    <w:rsid w:val="00E5774B"/>
    <w:rsid w:val="00E75193"/>
    <w:rsid w:val="00E77E1E"/>
    <w:rsid w:val="00E8121D"/>
    <w:rsid w:val="00E82C94"/>
    <w:rsid w:val="00EA6C22"/>
    <w:rsid w:val="00EA77E3"/>
    <w:rsid w:val="00EB715B"/>
    <w:rsid w:val="00EC1198"/>
    <w:rsid w:val="00ED0DA7"/>
    <w:rsid w:val="00ED21A0"/>
    <w:rsid w:val="00EF6B02"/>
    <w:rsid w:val="00F05932"/>
    <w:rsid w:val="00F075AE"/>
    <w:rsid w:val="00F1347C"/>
    <w:rsid w:val="00F67B58"/>
    <w:rsid w:val="00F80202"/>
    <w:rsid w:val="00F8522A"/>
    <w:rsid w:val="00FA490E"/>
    <w:rsid w:val="02E57613"/>
    <w:rsid w:val="02FF0D80"/>
    <w:rsid w:val="15B85137"/>
    <w:rsid w:val="16041BA6"/>
    <w:rsid w:val="2DE7759F"/>
    <w:rsid w:val="339E7D4B"/>
    <w:rsid w:val="361B61C7"/>
    <w:rsid w:val="3ECA4CD4"/>
    <w:rsid w:val="46FC3077"/>
    <w:rsid w:val="479E0D55"/>
    <w:rsid w:val="4AFE195C"/>
    <w:rsid w:val="4B5562A0"/>
    <w:rsid w:val="4BC323F1"/>
    <w:rsid w:val="532E3A5B"/>
    <w:rsid w:val="567A3353"/>
    <w:rsid w:val="5B0203A0"/>
    <w:rsid w:val="60FD15F7"/>
    <w:rsid w:val="6A7A5576"/>
    <w:rsid w:val="6D535020"/>
    <w:rsid w:val="6E0005AE"/>
    <w:rsid w:val="6ED3511D"/>
    <w:rsid w:val="74A44FDB"/>
    <w:rsid w:val="75856B41"/>
    <w:rsid w:val="7CCD4AFB"/>
    <w:rsid w:val="7D24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2"/>
    </w:rPr>
  </w:style>
  <w:style w:type="paragraph" w:customStyle="1" w:styleId="8">
    <w:name w:val="列出段落2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  <w:rPr>
      <w:szCs w:val="22"/>
    </w:rPr>
  </w:style>
  <w:style w:type="character" w:customStyle="1" w:styleId="11">
    <w:name w:val="页眉 字符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字符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224</Words>
  <Characters>1283</Characters>
  <Lines>10</Lines>
  <Paragraphs>3</Paragraphs>
  <TotalTime>0</TotalTime>
  <ScaleCrop>false</ScaleCrop>
  <LinksUpToDate>false</LinksUpToDate>
  <CharactersWithSpaces>1504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2018-10-19T06:08:00Z</dcterms:created>
  <dc:creator>Anonymous</dc:creator>
  <cp:lastModifiedBy>彭小婷</cp:lastModifiedBy>
  <dcterms:modified xsi:type="dcterms:W3CDTF">2021-04-02T10:09:42Z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