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94" w:lineRule="exact"/>
        <w:jc w:val="left"/>
        <w:rPr>
          <w:rFonts w:ascii="Times New Roman" w:hAnsi="Times New Roman" w:eastAsia="黑体"/>
          <w:spacing w:val="-12"/>
          <w:sz w:val="44"/>
          <w:szCs w:val="44"/>
        </w:rPr>
      </w:pPr>
      <w:bookmarkStart w:id="0" w:name="_GoBack"/>
      <w:bookmarkEnd w:id="0"/>
      <w:r>
        <w:rPr>
          <w:rFonts w:ascii="Times New Roman" w:hAnsi="Times New Roman" w:eastAsia="黑体"/>
          <w:sz w:val="32"/>
          <w:szCs w:val="32"/>
        </w:rPr>
        <w:t>附件</w:t>
      </w:r>
      <w:r>
        <w:rPr>
          <w:rFonts w:hint="eastAsia" w:ascii="Times New Roman" w:hAnsi="Times New Roman" w:eastAsia="黑体"/>
          <w:sz w:val="32"/>
          <w:szCs w:val="32"/>
        </w:rPr>
        <w:t>1</w:t>
      </w:r>
    </w:p>
    <w:p>
      <w:pPr>
        <w:autoSpaceDE w:val="0"/>
        <w:spacing w:line="594" w:lineRule="exact"/>
        <w:jc w:val="center"/>
        <w:rPr>
          <w:rFonts w:ascii="Times New Roman" w:hAnsi="Times New Roman" w:eastAsia="方正小标宋简体"/>
          <w:spacing w:val="-12"/>
          <w:sz w:val="44"/>
          <w:szCs w:val="44"/>
        </w:rPr>
      </w:pPr>
      <w:r>
        <w:rPr>
          <w:rFonts w:hint="eastAsia" w:ascii="Times New Roman" w:hAnsi="Times New Roman" w:eastAsia="方正小标宋简体"/>
          <w:spacing w:val="-12"/>
          <w:sz w:val="44"/>
          <w:szCs w:val="44"/>
        </w:rPr>
        <w:t>部分不合格检验项目小知识</w:t>
      </w:r>
    </w:p>
    <w:p>
      <w:pPr>
        <w:autoSpaceDE w:val="0"/>
        <w:spacing w:line="594" w:lineRule="exact"/>
        <w:jc w:val="left"/>
        <w:rPr>
          <w:rFonts w:ascii="Times New Roman" w:hAnsi="Times New Roman" w:eastAsia="方正小标宋简体"/>
          <w:spacing w:val="-12"/>
          <w:sz w:val="44"/>
          <w:szCs w:val="44"/>
        </w:rPr>
      </w:pPr>
    </w:p>
    <w:p>
      <w:pPr>
        <w:keepNext w:val="0"/>
        <w:keepLines w:val="0"/>
        <w:pageBreakBefore w:val="0"/>
        <w:widowControl w:val="0"/>
        <w:kinsoku/>
        <w:wordWrap/>
        <w:overflowPunct/>
        <w:topLinePunct w:val="0"/>
        <w:autoSpaceDE w:val="0"/>
        <w:autoSpaceDN/>
        <w:bidi w:val="0"/>
        <w:adjustRightInd w:val="0"/>
        <w:snapToGrid w:val="0"/>
        <w:spacing w:line="594" w:lineRule="exact"/>
        <w:ind w:firstLine="640" w:firstLineChars="200"/>
        <w:textAlignment w:val="auto"/>
        <w:outlineLvl w:val="9"/>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一</w:t>
      </w:r>
      <w:r>
        <w:rPr>
          <w:rFonts w:ascii="Times New Roman" w:hAnsi="Times New Roman" w:eastAsia="黑体"/>
          <w:color w:val="000000" w:themeColor="text1"/>
          <w:sz w:val="32"/>
          <w:szCs w:val="32"/>
          <w14:textFill>
            <w14:solidFill>
              <w14:schemeClr w14:val="tx1"/>
            </w14:solidFill>
          </w14:textFill>
        </w:rPr>
        <w:t>、菌落总数</w:t>
      </w:r>
    </w:p>
    <w:p>
      <w:pPr>
        <w:autoSpaceDE w:val="0"/>
        <w:adjustRightInd w:val="0"/>
        <w:snapToGrid w:val="0"/>
        <w:spacing w:line="594"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eastAsia" w:ascii="Times New Roman" w:hAnsi="Times New Roman" w:eastAsia="仿宋_GB2312"/>
          <w:sz w:val="32"/>
          <w:szCs w:val="32"/>
        </w:rPr>
        <w:t>《食品安全国家标准 膨化食品》（GB 17401—2014）中规定，膨化食品中</w:t>
      </w:r>
      <w:r>
        <w:rPr>
          <w:rFonts w:eastAsia="仿宋_GB2312"/>
          <w:sz w:val="32"/>
          <w:szCs w:val="32"/>
        </w:rPr>
        <w:t>同一批次产品</w:t>
      </w:r>
      <w:r>
        <w:rPr>
          <w:rFonts w:ascii="Times New Roman" w:hAnsi="Times New Roman" w:eastAsia="仿宋_GB2312"/>
          <w:sz w:val="32"/>
          <w:szCs w:val="32"/>
        </w:rPr>
        <w:t>5</w:t>
      </w:r>
      <w:r>
        <w:rPr>
          <w:rFonts w:eastAsia="仿宋_GB2312"/>
          <w:sz w:val="32"/>
          <w:szCs w:val="32"/>
        </w:rPr>
        <w:t>个样品的</w:t>
      </w:r>
      <w:r>
        <w:rPr>
          <w:rFonts w:hint="eastAsia" w:eastAsia="仿宋_GB2312"/>
          <w:sz w:val="32"/>
          <w:szCs w:val="32"/>
        </w:rPr>
        <w:t>菌落总数检测结果</w:t>
      </w:r>
      <w:r>
        <w:rPr>
          <w:rFonts w:ascii="Times New Roman" w:hAnsi="Times New Roman" w:eastAsia="仿宋_GB2312"/>
          <w:sz w:val="32"/>
          <w:szCs w:val="32"/>
        </w:rPr>
        <w:t>均不得超过10</w:t>
      </w:r>
      <w:r>
        <w:rPr>
          <w:rFonts w:hint="eastAsia" w:ascii="Times New Roman" w:hAnsi="Times New Roman" w:eastAsia="仿宋_GB2312"/>
          <w:sz w:val="32"/>
          <w:szCs w:val="32"/>
          <w:vertAlign w:val="superscript"/>
        </w:rPr>
        <w:t>5</w:t>
      </w:r>
      <w:r>
        <w:rPr>
          <w:rFonts w:ascii="Times New Roman" w:hAnsi="Times New Roman" w:eastAsia="仿宋_GB2312"/>
          <w:sz w:val="32"/>
          <w:szCs w:val="32"/>
        </w:rPr>
        <w:t>CFU/g，</w:t>
      </w:r>
      <w:r>
        <w:rPr>
          <w:rFonts w:hint="eastAsia" w:ascii="Times New Roman" w:hAnsi="Times New Roman" w:eastAsia="仿宋_GB2312"/>
          <w:sz w:val="32"/>
          <w:szCs w:val="32"/>
        </w:rPr>
        <w:t>且最多允许2个样品的检测结果超过10</w:t>
      </w:r>
      <w:r>
        <w:rPr>
          <w:rFonts w:hint="eastAsia" w:ascii="Times New Roman" w:hAnsi="Times New Roman" w:eastAsia="仿宋_GB2312"/>
          <w:sz w:val="32"/>
          <w:szCs w:val="32"/>
          <w:vertAlign w:val="superscript"/>
        </w:rPr>
        <w:t>4</w:t>
      </w:r>
      <w:r>
        <w:rPr>
          <w:rFonts w:hint="eastAsia" w:ascii="Times New Roman" w:hAnsi="Times New Roman" w:eastAsia="仿宋_GB2312"/>
          <w:sz w:val="32"/>
          <w:szCs w:val="32"/>
        </w:rPr>
        <w:t>CFU/g。</w:t>
      </w:r>
      <w:r>
        <w:rPr>
          <w:rFonts w:ascii="Times New Roman" w:hAnsi="Times New Roman" w:eastAsia="仿宋_GB2312"/>
          <w:color w:val="000000" w:themeColor="text1"/>
          <w:sz w:val="32"/>
          <w:szCs w:val="32"/>
          <w14:textFill>
            <w14:solidFill>
              <w14:schemeClr w14:val="tx1"/>
            </w14:solidFill>
          </w14:textFill>
        </w:rPr>
        <w:t>《食品安全国家标准 蜜饯》（GB 14884</w:t>
      </w:r>
      <w:r>
        <w:rPr>
          <w:rFonts w:hint="eastAsia" w:ascii="Times New Roman" w:hAnsi="Times New Roman" w:eastAsia="仿宋_GB2312" w:cs="仿宋_GB2312"/>
          <w:sz w:val="32"/>
          <w:szCs w:val="32"/>
        </w:rPr>
        <w:t>—</w:t>
      </w:r>
      <w:r>
        <w:rPr>
          <w:rFonts w:ascii="Times New Roman" w:hAnsi="Times New Roman" w:eastAsia="仿宋_GB2312"/>
          <w:color w:val="000000" w:themeColor="text1"/>
          <w:sz w:val="32"/>
          <w:szCs w:val="32"/>
          <w14:textFill>
            <w14:solidFill>
              <w14:schemeClr w14:val="tx1"/>
            </w14:solidFill>
          </w14:textFill>
        </w:rPr>
        <w:t>2016）中规定，蜜饯中</w:t>
      </w:r>
      <w:r>
        <w:rPr>
          <w:rFonts w:eastAsia="仿宋_GB2312"/>
          <w:sz w:val="32"/>
          <w:szCs w:val="32"/>
        </w:rPr>
        <w:t>同一批次产品</w:t>
      </w:r>
      <w:r>
        <w:rPr>
          <w:rFonts w:ascii="Times New Roman" w:hAnsi="Times New Roman" w:eastAsia="仿宋_GB2312"/>
          <w:sz w:val="32"/>
          <w:szCs w:val="32"/>
        </w:rPr>
        <w:t>5</w:t>
      </w:r>
      <w:r>
        <w:rPr>
          <w:rFonts w:eastAsia="仿宋_GB2312"/>
          <w:sz w:val="32"/>
          <w:szCs w:val="32"/>
        </w:rPr>
        <w:t>个样品的</w:t>
      </w:r>
      <w:r>
        <w:rPr>
          <w:rFonts w:hint="eastAsia" w:eastAsia="仿宋_GB2312"/>
          <w:sz w:val="32"/>
          <w:szCs w:val="32"/>
        </w:rPr>
        <w:t>菌落总数检测结果</w:t>
      </w:r>
      <w:r>
        <w:rPr>
          <w:rFonts w:ascii="Times New Roman" w:hAnsi="Times New Roman" w:eastAsia="仿宋_GB2312"/>
          <w:color w:val="000000" w:themeColor="text1"/>
          <w:sz w:val="32"/>
          <w:szCs w:val="32"/>
          <w14:textFill>
            <w14:solidFill>
              <w14:schemeClr w14:val="tx1"/>
            </w14:solidFill>
          </w14:textFill>
        </w:rPr>
        <w:t>均不得超过10</w:t>
      </w:r>
      <w:r>
        <w:rPr>
          <w:rFonts w:ascii="Times New Roman" w:hAnsi="Times New Roman" w:eastAsia="仿宋_GB2312"/>
          <w:color w:val="000000" w:themeColor="text1"/>
          <w:sz w:val="32"/>
          <w:szCs w:val="32"/>
          <w:vertAlign w:val="superscript"/>
          <w14:textFill>
            <w14:solidFill>
              <w14:schemeClr w14:val="tx1"/>
            </w14:solidFill>
          </w14:textFill>
        </w:rPr>
        <w:t>4</w:t>
      </w:r>
      <w:r>
        <w:rPr>
          <w:rFonts w:ascii="Times New Roman" w:hAnsi="Times New Roman" w:eastAsia="仿宋_GB2312"/>
          <w:color w:val="000000" w:themeColor="text1"/>
          <w:sz w:val="32"/>
          <w:szCs w:val="32"/>
          <w14:textFill>
            <w14:solidFill>
              <w14:schemeClr w14:val="tx1"/>
            </w14:solidFill>
          </w14:textFill>
        </w:rPr>
        <w:t>CFU/g，</w:t>
      </w:r>
      <w:r>
        <w:rPr>
          <w:rFonts w:hint="eastAsia" w:ascii="Times New Roman" w:hAnsi="Times New Roman" w:eastAsia="仿宋_GB2312"/>
          <w:sz w:val="32"/>
          <w:szCs w:val="32"/>
        </w:rPr>
        <w:t>且最多允许2个样品的</w:t>
      </w:r>
      <w:r>
        <w:rPr>
          <w:rFonts w:ascii="Times New Roman" w:hAnsi="Times New Roman" w:eastAsia="仿宋_GB2312"/>
          <w:color w:val="000000" w:themeColor="text1"/>
          <w:sz w:val="32"/>
          <w:szCs w:val="32"/>
          <w14:textFill>
            <w14:solidFill>
              <w14:schemeClr w14:val="tx1"/>
            </w14:solidFill>
          </w14:textFill>
        </w:rPr>
        <w:t>检测结果超过10</w:t>
      </w:r>
      <w:r>
        <w:rPr>
          <w:rFonts w:ascii="Times New Roman" w:hAnsi="Times New Roman" w:eastAsia="仿宋_GB2312"/>
          <w:color w:val="000000" w:themeColor="text1"/>
          <w:sz w:val="32"/>
          <w:szCs w:val="32"/>
          <w:vertAlign w:val="superscript"/>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CFU/g。</w:t>
      </w:r>
      <w:r>
        <w:rPr>
          <w:rFonts w:hint="eastAsia" w:ascii="Times New Roman" w:hAnsi="Times New Roman" w:eastAsia="仿宋_GB2312"/>
          <w:sz w:val="32"/>
          <w:szCs w:val="32"/>
        </w:rPr>
        <w:t>膨化食品</w:t>
      </w:r>
      <w:r>
        <w:rPr>
          <w:rFonts w:hint="eastAsia" w:ascii="Times New Roman" w:hAnsi="Times New Roman" w:eastAsia="仿宋_GB2312"/>
          <w:sz w:val="32"/>
          <w:szCs w:val="32"/>
          <w:lang w:eastAsia="zh-CN"/>
        </w:rPr>
        <w:t>和</w:t>
      </w:r>
      <w:r>
        <w:rPr>
          <w:rFonts w:hint="eastAsia" w:ascii="Times New Roman" w:hAnsi="Times New Roman" w:eastAsia="仿宋_GB2312"/>
          <w:color w:val="000000" w:themeColor="text1"/>
          <w:sz w:val="32"/>
          <w:szCs w:val="32"/>
          <w14:textFill>
            <w14:solidFill>
              <w14:schemeClr w14:val="tx1"/>
            </w14:solidFill>
          </w14:textFill>
        </w:rPr>
        <w:t>蜜饯</w:t>
      </w:r>
      <w:r>
        <w:rPr>
          <w:rFonts w:ascii="Times New Roman" w:hAnsi="Times New Roman" w:eastAsia="仿宋_GB2312"/>
          <w:color w:val="000000" w:themeColor="text1"/>
          <w:sz w:val="32"/>
          <w:szCs w:val="32"/>
          <w14:textFill>
            <w14:solidFill>
              <w14:schemeClr w14:val="tx1"/>
            </w14:solidFill>
          </w14:textFill>
        </w:rPr>
        <w:t>中菌落总数超标的原因，可能是企业未按要求严格控制生产加工过程的卫生条件，也可能与产品包装密封不严或储运条件不当等有关。</w:t>
      </w:r>
    </w:p>
    <w:p>
      <w:pPr>
        <w:autoSpaceDE w:val="0"/>
        <w:adjustRightInd w:val="0"/>
        <w:snapToGrid w:val="0"/>
        <w:spacing w:line="594" w:lineRule="exact"/>
        <w:ind w:firstLine="640" w:firstLineChars="200"/>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二、甲硝唑</w:t>
      </w:r>
    </w:p>
    <w:p>
      <w:pPr>
        <w:autoSpaceDE w:val="0"/>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甲硝唑是硝基咪唑类抗菌药，对甲硝唑敏感的菌种有拟杆菌属、梭状芽孢杆菌属、产气荚膜梭菌、消化球菌属等。长期食用甲硝唑超标的蜂蜜，可能在人体内蓄积，产生消化道症状、神经系统症状、皮肤症状等。</w:t>
      </w:r>
      <w:r>
        <w:rPr>
          <w:rFonts w:ascii="Times New Roman" w:hAnsi="Times New Roman" w:eastAsia="仿宋_GB2312"/>
          <w:sz w:val="32"/>
          <w:szCs w:val="32"/>
        </w:rPr>
        <w:t>《食品安全国家标准 食品中兽药最大残留限量》（GB 31650</w:t>
      </w:r>
      <w:r>
        <w:rPr>
          <w:rFonts w:hint="eastAsia" w:ascii="Times New Roman" w:hAnsi="Times New Roman" w:eastAsia="仿宋_GB2312"/>
          <w:sz w:val="32"/>
          <w:szCs w:val="32"/>
        </w:rPr>
        <w:t>—</w:t>
      </w:r>
      <w:r>
        <w:rPr>
          <w:rFonts w:ascii="Times New Roman" w:hAnsi="Times New Roman" w:eastAsia="仿宋_GB2312"/>
          <w:sz w:val="32"/>
          <w:szCs w:val="32"/>
        </w:rPr>
        <w:t>2019）中规定，甲硝唑允许作治疗用，但不得在动物性食品中检出。蜂蜜中检出甲硝唑的原因，可能是在养殖过程中为快速控制疫病，违规加大用药量或不遵守休药期规定，致使产品上市销售时</w:t>
      </w:r>
      <w:r>
        <w:rPr>
          <w:rFonts w:hint="eastAsia" w:ascii="Times New Roman" w:hAnsi="Times New Roman" w:eastAsia="仿宋_GB2312"/>
          <w:sz w:val="32"/>
          <w:szCs w:val="32"/>
        </w:rPr>
        <w:t>有</w:t>
      </w:r>
      <w:r>
        <w:rPr>
          <w:rFonts w:ascii="Times New Roman" w:hAnsi="Times New Roman" w:eastAsia="仿宋_GB2312"/>
          <w:sz w:val="32"/>
          <w:szCs w:val="32"/>
        </w:rPr>
        <w:t>药物残留。</w:t>
      </w:r>
    </w:p>
    <w:p>
      <w:pPr>
        <w:autoSpaceDE w:val="0"/>
        <w:adjustRightInd w:val="0"/>
        <w:snapToGrid w:val="0"/>
        <w:spacing w:line="594" w:lineRule="exact"/>
        <w:ind w:firstLine="640" w:firstLineChars="200"/>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三、克伦特罗</w:t>
      </w:r>
    </w:p>
    <w:p>
      <w:pPr>
        <w:pStyle w:val="5"/>
        <w:widowControl/>
        <w:autoSpaceDE w:val="0"/>
        <w:spacing w:beforeAutospacing="0" w:afterAutospacing="0" w:line="594" w:lineRule="exact"/>
        <w:ind w:firstLine="640" w:firstLineChars="200"/>
        <w:jc w:val="both"/>
        <w:rPr>
          <w:rFonts w:ascii="Times New Roman" w:hAnsi="Times New Roman" w:eastAsia="仿宋_GB2312"/>
          <w:spacing w:val="-12"/>
          <w:sz w:val="32"/>
          <w:szCs w:val="32"/>
        </w:rPr>
      </w:pPr>
      <w:r>
        <w:rPr>
          <w:rFonts w:hint="eastAsia" w:ascii="Times New Roman" w:hAnsi="Times New Roman" w:eastAsia="仿宋_GB2312"/>
          <w:sz w:val="32"/>
          <w:szCs w:val="32"/>
        </w:rPr>
        <w:t>克伦特罗属于β-兴奋剂类药物，可促进动物体蛋白质沉积、促进脂肪分解抑制脂肪沉积、提高瘦肉率和增重，因此被称为“瘦肉精”。长期食用克伦特罗残留超标的动物性食品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可能引起人体四肢、面、颈部骨骼肌震颤及心悸、心动过速、乏力、头痛、恶心、呼吸困难等。《食品中可能违法添加的非食用物质和易滥用的食品添加剂名单（第四批）》（整顿办函〔2010〕50号）中规定，</w:t>
      </w:r>
      <w:r>
        <w:rPr>
          <w:rFonts w:ascii="Times New Roman" w:hAnsi="Times New Roman" w:eastAsia="仿宋_GB2312"/>
          <w:sz w:val="32"/>
          <w:szCs w:val="32"/>
        </w:rPr>
        <w:t>β</w:t>
      </w:r>
      <w:r>
        <w:rPr>
          <w:rFonts w:hint="eastAsia" w:ascii="Times New Roman" w:hAnsi="Times New Roman" w:eastAsia="仿宋_GB2312"/>
          <w:sz w:val="32"/>
          <w:szCs w:val="32"/>
        </w:rPr>
        <w:t>-兴奋剂类药物</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盐酸克伦特罗、莱克多巴胺等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为食品中可能违法添加的非食用物质（在动物性食品中不得检出）。牛肉中检出克伦特罗的原因，可能是在养殖过程中为提高瘦肉率、增重和提高饲料转化率而违规使用</w:t>
      </w:r>
      <w:r>
        <w:rPr>
          <w:rFonts w:hint="eastAsia" w:ascii="仿宋_GB2312" w:eastAsia="仿宋_GB2312"/>
          <w:sz w:val="32"/>
          <w:szCs w:val="32"/>
        </w:rPr>
        <w:t>。</w:t>
      </w:r>
    </w:p>
    <w:p>
      <w:pPr>
        <w:autoSpaceDE w:val="0"/>
        <w:adjustRightInd w:val="0"/>
        <w:snapToGrid w:val="0"/>
        <w:spacing w:line="594" w:lineRule="exact"/>
        <w:ind w:firstLine="640" w:firstLineChars="200"/>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四、氯霉素</w:t>
      </w:r>
    </w:p>
    <w:p>
      <w:pPr>
        <w:autoSpaceDE w:val="0"/>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氯霉素是酰胺醇类抗生素，对革兰氏阳性菌和革兰氏阴性菌均有较好的抑制作用。氯霉素残留一般不会导致对人体的急性毒性作用；长期大量摄入氯霉素残留超标的食品，可能在人体内蓄积，产生耐药并对同类药物有交叉耐药，引起胃肠道症状、肝功能异常、血液系统异常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动物性食品中兽药最高残留限量》</w:t>
      </w:r>
      <w:r>
        <w:rPr>
          <w:rFonts w:hint="eastAsia" w:eastAsia="仿宋_GB2312"/>
          <w:sz w:val="32"/>
          <w:szCs w:val="32"/>
        </w:rPr>
        <w:t>（</w:t>
      </w:r>
      <w:r>
        <w:rPr>
          <w:rFonts w:hint="eastAsia" w:eastAsia="仿宋_GB2312"/>
          <w:sz w:val="32"/>
          <w:szCs w:val="32"/>
          <w:shd w:val="clear"/>
        </w:rPr>
        <w:t>农业部公告 第</w:t>
      </w:r>
      <w:r>
        <w:rPr>
          <w:rFonts w:ascii="Times New Roman" w:hAnsi="Times New Roman" w:eastAsia="仿宋_GB2312"/>
          <w:sz w:val="32"/>
          <w:szCs w:val="32"/>
          <w:shd w:val="clear"/>
        </w:rPr>
        <w:t>235</w:t>
      </w:r>
      <w:r>
        <w:rPr>
          <w:rFonts w:hint="eastAsia" w:eastAsia="仿宋_GB2312"/>
          <w:sz w:val="32"/>
          <w:szCs w:val="32"/>
          <w:shd w:val="clear"/>
        </w:rPr>
        <w:t>号</w:t>
      </w:r>
      <w:r>
        <w:rPr>
          <w:rFonts w:hint="eastAsia" w:eastAsia="仿宋_GB2312"/>
          <w:sz w:val="32"/>
          <w:szCs w:val="32"/>
        </w:rPr>
        <w:t>）中</w:t>
      </w:r>
      <w:r>
        <w:rPr>
          <w:rFonts w:hint="eastAsia" w:eastAsia="仿宋_GB2312"/>
          <w:sz w:val="32"/>
          <w:szCs w:val="32"/>
          <w:shd w:val="clear"/>
        </w:rPr>
        <w:t>规定，氯霉素为食品动物中禁止使用的药物，在蜂蜜中不得检出。</w:t>
      </w:r>
      <w:r>
        <w:rPr>
          <w:rFonts w:hint="eastAsia" w:ascii="Times New Roman" w:hAnsi="Times New Roman" w:eastAsia="仿宋_GB2312"/>
          <w:sz w:val="32"/>
          <w:szCs w:val="32"/>
        </w:rPr>
        <w:t>蜂蜜中检出氯霉素的原因，可能是其抑菌效果好、相对廉价，蜂农在养殖中非法使用；也可能是日常使用的蜂药中含有氯霉素药物，或者养蜂环境中氯霉素的迁移污染。</w:t>
      </w:r>
    </w:p>
    <w:p>
      <w:pPr>
        <w:autoSpaceDE w:val="0"/>
        <w:adjustRightInd w:val="0"/>
        <w:snapToGrid w:val="0"/>
        <w:spacing w:line="594" w:lineRule="exact"/>
        <w:ind w:firstLine="640" w:firstLineChars="200"/>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五、甲氧苄啶</w:t>
      </w:r>
    </w:p>
    <w:p>
      <w:pPr>
        <w:autoSpaceDE w:val="0"/>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甲氧苄啶为抗菌增效剂，常与磺胺类药物一起使用。长期食用甲氧苄啶超标的食品，可能会引起恶心、呕吐等症状。《食品安全国家标准 食品中兽药最大残留限量》（GB 31650—2019）中规定，甲氧苄啶在鱼的皮和肉中最大残留限量值为50μg/kg。鳝鱼中甲氧苄啶</w:t>
      </w:r>
      <w:r>
        <w:rPr>
          <w:rFonts w:hint="eastAsia" w:ascii="Times New Roman" w:hAnsi="Times New Roman" w:eastAsia="仿宋_GB2312"/>
          <w:sz w:val="32"/>
          <w:szCs w:val="32"/>
          <w:lang w:eastAsia="zh-CN"/>
        </w:rPr>
        <w:t>残留量</w:t>
      </w:r>
      <w:r>
        <w:rPr>
          <w:rFonts w:hint="eastAsia" w:ascii="Times New Roman" w:hAnsi="Times New Roman" w:eastAsia="仿宋_GB2312"/>
          <w:sz w:val="32"/>
          <w:szCs w:val="32"/>
        </w:rPr>
        <w:t>超标的原因，</w:t>
      </w:r>
      <w:r>
        <w:rPr>
          <w:rFonts w:ascii="Times New Roman" w:hAnsi="Times New Roman" w:eastAsia="仿宋_GB2312"/>
          <w:sz w:val="32"/>
          <w:szCs w:val="32"/>
        </w:rPr>
        <w:t>可能是在养殖过程中为快速控制疫病</w:t>
      </w:r>
      <w:r>
        <w:rPr>
          <w:rFonts w:hint="eastAsia" w:ascii="Times New Roman" w:hAnsi="Times New Roman" w:eastAsia="仿宋_GB2312"/>
          <w:sz w:val="32"/>
          <w:szCs w:val="32"/>
        </w:rPr>
        <w:t>，</w:t>
      </w:r>
      <w:r>
        <w:rPr>
          <w:rFonts w:ascii="Times New Roman" w:hAnsi="Times New Roman" w:eastAsia="仿宋_GB2312"/>
          <w:sz w:val="32"/>
          <w:szCs w:val="32"/>
        </w:rPr>
        <w:t>违规加大用药量或不遵守休药期规定，致使上市销售产品</w:t>
      </w:r>
      <w:r>
        <w:rPr>
          <w:rFonts w:hint="eastAsia" w:ascii="Times New Roman" w:hAnsi="Times New Roman" w:eastAsia="仿宋_GB2312"/>
          <w:sz w:val="32"/>
          <w:szCs w:val="32"/>
        </w:rPr>
        <w:t>中的药物</w:t>
      </w:r>
      <w:r>
        <w:rPr>
          <w:rFonts w:ascii="Times New Roman" w:hAnsi="Times New Roman" w:eastAsia="仿宋_GB2312"/>
          <w:sz w:val="32"/>
          <w:szCs w:val="32"/>
        </w:rPr>
        <w:t>残留</w:t>
      </w:r>
      <w:r>
        <w:rPr>
          <w:rFonts w:hint="eastAsia" w:ascii="Times New Roman" w:hAnsi="Times New Roman" w:eastAsia="仿宋_GB2312"/>
          <w:sz w:val="32"/>
          <w:szCs w:val="32"/>
        </w:rPr>
        <w:t>未降解至标准限量以下。</w:t>
      </w:r>
    </w:p>
    <w:p>
      <w:pPr>
        <w:autoSpaceDE w:val="0"/>
        <w:adjustRightInd w:val="0"/>
        <w:snapToGrid w:val="0"/>
        <w:spacing w:line="594" w:lineRule="exact"/>
        <w:ind w:firstLine="640" w:firstLineChars="200"/>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六、恩诺沙星</w:t>
      </w:r>
    </w:p>
    <w:p>
      <w:pPr>
        <w:autoSpaceDE w:val="0"/>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恩诺沙星属第三代喹诺酮类药物，是一类人工合成的广谱抗菌药，用于治疗动物的皮肤感染、呼吸道感染等，是动物专属用药。长期食用恩诺沙星超标的食品，可能导致在人体中蓄积，进而对人体产生危害，还可能使人体产生耐药性菌株。《食品安全国家标准 食品中兽药最大残留限量》（GB 31650</w:t>
      </w:r>
      <w:r>
        <w:rPr>
          <w:rFonts w:hint="eastAsia" w:ascii="Times New Roman" w:hAnsi="Times New Roman" w:eastAsia="仿宋_GB2312"/>
          <w:sz w:val="32"/>
          <w:szCs w:val="32"/>
        </w:rPr>
        <w:t>—</w:t>
      </w:r>
      <w:r>
        <w:rPr>
          <w:rFonts w:ascii="Times New Roman" w:hAnsi="Times New Roman" w:eastAsia="仿宋_GB2312"/>
          <w:sz w:val="32"/>
          <w:szCs w:val="32"/>
        </w:rPr>
        <w:t>2019）</w:t>
      </w:r>
      <w:r>
        <w:rPr>
          <w:rFonts w:hint="eastAsia" w:ascii="Times New Roman" w:hAnsi="Times New Roman" w:eastAsia="仿宋_GB2312"/>
          <w:sz w:val="32"/>
          <w:szCs w:val="32"/>
        </w:rPr>
        <w:t>中</w:t>
      </w:r>
      <w:r>
        <w:rPr>
          <w:rFonts w:ascii="Times New Roman" w:hAnsi="Times New Roman" w:eastAsia="仿宋_GB2312"/>
          <w:sz w:val="32"/>
          <w:szCs w:val="32"/>
        </w:rPr>
        <w:t>规定，恩诺沙星在</w:t>
      </w:r>
      <w:r>
        <w:rPr>
          <w:rFonts w:hint="eastAsia" w:ascii="Times New Roman" w:hAnsi="Times New Roman" w:eastAsia="仿宋_GB2312"/>
          <w:sz w:val="32"/>
          <w:szCs w:val="32"/>
        </w:rPr>
        <w:t>家禽的肌肉、鱼的皮和肉</w:t>
      </w:r>
      <w:r>
        <w:rPr>
          <w:rFonts w:ascii="Times New Roman" w:hAnsi="Times New Roman" w:eastAsia="仿宋_GB2312"/>
          <w:sz w:val="32"/>
          <w:szCs w:val="32"/>
        </w:rPr>
        <w:t>中最大残留限量值为100μg/kg。</w:t>
      </w:r>
      <w:r>
        <w:rPr>
          <w:rFonts w:hint="eastAsia" w:ascii="Times New Roman" w:hAnsi="Times New Roman" w:eastAsia="仿宋_GB2312"/>
          <w:sz w:val="32"/>
          <w:szCs w:val="32"/>
        </w:rPr>
        <w:t>鳝鱼</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鸡肉</w:t>
      </w:r>
      <w:r>
        <w:rPr>
          <w:rFonts w:ascii="Times New Roman" w:hAnsi="Times New Roman" w:eastAsia="仿宋_GB2312"/>
          <w:sz w:val="32"/>
          <w:szCs w:val="32"/>
        </w:rPr>
        <w:t>中恩诺沙星</w:t>
      </w:r>
      <w:r>
        <w:rPr>
          <w:rFonts w:hint="eastAsia" w:ascii="Times New Roman" w:hAnsi="Times New Roman" w:eastAsia="仿宋_GB2312"/>
          <w:sz w:val="32"/>
          <w:szCs w:val="32"/>
          <w:lang w:eastAsia="zh-CN"/>
        </w:rPr>
        <w:t>残留量</w:t>
      </w:r>
      <w:r>
        <w:rPr>
          <w:rFonts w:ascii="Times New Roman" w:hAnsi="Times New Roman" w:eastAsia="仿宋_GB2312"/>
          <w:sz w:val="32"/>
          <w:szCs w:val="32"/>
        </w:rPr>
        <w:t>超标的原因，可能是在养殖过程中为快速控制疫病</w:t>
      </w:r>
      <w:r>
        <w:rPr>
          <w:rFonts w:hint="eastAsia" w:ascii="Times New Roman" w:hAnsi="Times New Roman" w:eastAsia="仿宋_GB2312"/>
          <w:sz w:val="32"/>
          <w:szCs w:val="32"/>
        </w:rPr>
        <w:t>，</w:t>
      </w:r>
      <w:r>
        <w:rPr>
          <w:rFonts w:ascii="Times New Roman" w:hAnsi="Times New Roman" w:eastAsia="仿宋_GB2312"/>
          <w:sz w:val="32"/>
          <w:szCs w:val="32"/>
        </w:rPr>
        <w:t>违规加大用药量或不遵守休药期规定，致使上市销售产品</w:t>
      </w:r>
      <w:r>
        <w:rPr>
          <w:rFonts w:hint="eastAsia" w:ascii="Times New Roman" w:hAnsi="Times New Roman" w:eastAsia="仿宋_GB2312"/>
          <w:sz w:val="32"/>
          <w:szCs w:val="32"/>
        </w:rPr>
        <w:t>中的药物</w:t>
      </w:r>
      <w:r>
        <w:rPr>
          <w:rFonts w:ascii="Times New Roman" w:hAnsi="Times New Roman" w:eastAsia="仿宋_GB2312"/>
          <w:sz w:val="32"/>
          <w:szCs w:val="32"/>
        </w:rPr>
        <w:t>残留</w:t>
      </w:r>
      <w:r>
        <w:rPr>
          <w:rFonts w:hint="eastAsia" w:ascii="Times New Roman" w:hAnsi="Times New Roman" w:eastAsia="仿宋_GB2312"/>
          <w:sz w:val="32"/>
          <w:szCs w:val="32"/>
        </w:rPr>
        <w:t>量</w:t>
      </w:r>
      <w:r>
        <w:rPr>
          <w:rFonts w:ascii="Times New Roman" w:hAnsi="Times New Roman" w:eastAsia="仿宋_GB2312"/>
          <w:sz w:val="32"/>
          <w:szCs w:val="32"/>
        </w:rPr>
        <w:t>超标。</w:t>
      </w:r>
    </w:p>
    <w:p>
      <w:pPr>
        <w:autoSpaceDE w:val="0"/>
        <w:spacing w:line="594" w:lineRule="exact"/>
        <w:ind w:firstLine="640" w:firstLineChars="200"/>
        <w:rPr>
          <w:rFonts w:ascii="Times New Roman" w:hAnsi="Times New Roman" w:eastAsia="黑体" w:cs="黑体"/>
          <w:spacing w:val="-12"/>
          <w:sz w:val="32"/>
          <w:szCs w:val="32"/>
        </w:rPr>
      </w:pPr>
      <w:r>
        <w:rPr>
          <w:rFonts w:hint="eastAsia" w:ascii="Times New Roman" w:hAnsi="Times New Roman" w:eastAsia="黑体"/>
          <w:color w:val="000000" w:themeColor="text1"/>
          <w:sz w:val="32"/>
          <w:szCs w:val="32"/>
          <w14:textFill>
            <w14:solidFill>
              <w14:schemeClr w14:val="tx1"/>
            </w14:solidFill>
          </w14:textFill>
        </w:rPr>
        <w:t>七、总汞（以Hg计）</w:t>
      </w:r>
    </w:p>
    <w:p>
      <w:pPr>
        <w:autoSpaceDE w:val="0"/>
        <w:spacing w:line="594"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sz w:val="32"/>
          <w:szCs w:val="32"/>
        </w:rPr>
        <w:t>汞是一种毒性较大、熔点低、易挥发的银色液体金属，俗称水银。食品中的汞元素主要以金属汞、无机汞和有机汞</w:t>
      </w:r>
      <w:r>
        <w:rPr>
          <w:rFonts w:hint="eastAsia" w:ascii="Times New Roman" w:hAnsi="Times New Roman" w:eastAsia="仿宋_GB2312" w:cs="仿宋_GB2312"/>
          <w:sz w:val="32"/>
          <w:szCs w:val="32"/>
        </w:rPr>
        <w:t>的形态存在，其对人体的毒性大小与其存在形态密切相关，危害较大的是有机汞。《食品安全国家标准 食品中污染物限量》（GB 2762—2017）中规定，</w:t>
      </w:r>
      <w:r>
        <w:rPr>
          <w:rFonts w:hint="eastAsia" w:ascii="Times New Roman" w:hAnsi="Times New Roman" w:eastAsia="仿宋_GB2312" w:cs="仿宋_GB2312"/>
          <w:sz w:val="32"/>
          <w:szCs w:val="32"/>
          <w:shd w:val="clear"/>
        </w:rPr>
        <w:t>在新鲜食用菌中总汞（以Hg计）限量值为0.1mg/kg，干制品中污染物限量以相应新鲜食品中污染物限量结合其脱水率或浓缩率折算。</w:t>
      </w:r>
      <w:r>
        <w:rPr>
          <w:rFonts w:hint="eastAsia" w:ascii="Times New Roman" w:hAnsi="Times New Roman" w:eastAsia="仿宋_GB2312" w:cs="仿宋_GB2312"/>
          <w:sz w:val="32"/>
          <w:szCs w:val="32"/>
        </w:rPr>
        <w:t>本次抽检的样品鸡枞菌（干制食用菌）的脱水率为9</w:t>
      </w:r>
      <w:r>
        <w:rPr>
          <w:rFonts w:ascii="Times New Roman" w:hAnsi="Times New Roman" w:eastAsia="仿宋_GB2312" w:cs="仿宋_GB2312"/>
          <w:sz w:val="32"/>
          <w:szCs w:val="32"/>
        </w:rPr>
        <w:t>4</w:t>
      </w:r>
      <w:r>
        <w:rPr>
          <w:rFonts w:hint="eastAsia" w:ascii="Times New Roman" w:hAnsi="Times New Roman" w:eastAsia="仿宋_GB2312" w:cs="仿宋_GB2312"/>
          <w:sz w:val="32"/>
          <w:szCs w:val="32"/>
        </w:rPr>
        <w:t>%（由生产企业提供），经折算后总汞（以Hg计）的限量值为1.7mg/kg。干制食用菌中总汞（以Hg计）检测值超标的原因，可能是使用了含汞农药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或者使用了被汞污染的培养基质和生产用水。</w:t>
      </w:r>
    </w:p>
    <w:p>
      <w:pPr>
        <w:shd w:val="clear"/>
        <w:autoSpaceDE w:val="0"/>
        <w:spacing w:line="594" w:lineRule="exact"/>
        <w:ind w:firstLine="640" w:firstLineChars="200"/>
        <w:rPr>
          <w:rFonts w:ascii="Times New Roman" w:hAnsi="Times New Roman" w:eastAsia="黑体"/>
          <w:spacing w:val="-12"/>
          <w:sz w:val="32"/>
          <w:szCs w:val="32"/>
        </w:rPr>
      </w:pPr>
      <w:r>
        <w:rPr>
          <w:rFonts w:hint="eastAsia" w:ascii="Times New Roman" w:hAnsi="Times New Roman" w:eastAsia="黑体"/>
          <w:color w:val="000000" w:themeColor="text1"/>
          <w:sz w:val="32"/>
          <w:szCs w:val="32"/>
          <w14:textFill>
            <w14:solidFill>
              <w14:schemeClr w14:val="tx1"/>
            </w14:solidFill>
          </w14:textFill>
        </w:rPr>
        <w:t>八、山梨酸及其钾盐（以山梨酸计）</w:t>
      </w:r>
    </w:p>
    <w:p>
      <w:pPr>
        <w:pStyle w:val="8"/>
        <w:autoSpaceDE w:val="0"/>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山梨酸及其钾盐抗菌性强，防腐效果好，是目前应用非常广泛的食品防腐剂。长期食用山梨酸及其钾盐超标的食品，可能对肝脏、肾脏、骨骼生长造成危害。《食品安全国家标准 食品添加剂使用标准》（GB 2760</w:t>
      </w:r>
      <w:r>
        <w:rPr>
          <w:rFonts w:hint="eastAsia" w:ascii="Times New Roman" w:hAnsi="Times New Roman" w:eastAsia="仿宋_GB2312"/>
          <w:sz w:val="32"/>
          <w:szCs w:val="32"/>
        </w:rPr>
        <w:t>—</w:t>
      </w:r>
      <w:r>
        <w:rPr>
          <w:rFonts w:ascii="Times New Roman" w:hAnsi="Times New Roman" w:eastAsia="仿宋_GB2312"/>
          <w:sz w:val="32"/>
          <w:szCs w:val="32"/>
        </w:rPr>
        <w:t>2014）中规定，山梨酸及其钾盐（以山梨酸计）在</w:t>
      </w:r>
      <w:r>
        <w:rPr>
          <w:rFonts w:hint="eastAsia" w:ascii="Times New Roman" w:hAnsi="Times New Roman" w:eastAsia="仿宋_GB2312"/>
          <w:sz w:val="32"/>
          <w:szCs w:val="32"/>
        </w:rPr>
        <w:t>腌腊肉制品类</w:t>
      </w:r>
      <w:r>
        <w:rPr>
          <w:rFonts w:ascii="Times New Roman" w:hAnsi="Times New Roman" w:eastAsia="仿宋_GB2312"/>
          <w:sz w:val="32"/>
          <w:szCs w:val="32"/>
        </w:rPr>
        <w:t>中</w:t>
      </w:r>
      <w:r>
        <w:rPr>
          <w:rFonts w:hint="eastAsia" w:ascii="Times New Roman" w:hAnsi="Times New Roman" w:eastAsia="仿宋_GB2312"/>
          <w:sz w:val="32"/>
          <w:szCs w:val="32"/>
        </w:rPr>
        <w:t>不得使用</w:t>
      </w:r>
      <w:r>
        <w:rPr>
          <w:rFonts w:ascii="Times New Roman" w:hAnsi="Times New Roman" w:eastAsia="仿宋_GB2312"/>
          <w:sz w:val="32"/>
          <w:szCs w:val="32"/>
        </w:rPr>
        <w:t>。</w:t>
      </w:r>
      <w:r>
        <w:rPr>
          <w:rFonts w:hint="eastAsia" w:ascii="Times New Roman" w:hAnsi="Times New Roman" w:eastAsia="仿宋_GB2312"/>
          <w:sz w:val="32"/>
          <w:szCs w:val="32"/>
        </w:rPr>
        <w:t>腌腊肉制品类检出</w:t>
      </w:r>
      <w:r>
        <w:rPr>
          <w:rFonts w:ascii="Times New Roman" w:hAnsi="Times New Roman" w:eastAsia="仿宋_GB2312"/>
          <w:sz w:val="32"/>
          <w:szCs w:val="32"/>
        </w:rPr>
        <w:t>山梨酸及其钾盐</w:t>
      </w:r>
      <w:r>
        <w:rPr>
          <w:rFonts w:hint="eastAsia" w:ascii="Times New Roman" w:hAnsi="Times New Roman" w:eastAsia="仿宋_GB2312"/>
          <w:sz w:val="32"/>
          <w:szCs w:val="32"/>
        </w:rPr>
        <w:t>（以山梨酸计）</w:t>
      </w:r>
      <w:r>
        <w:rPr>
          <w:rFonts w:ascii="Times New Roman" w:hAnsi="Times New Roman" w:eastAsia="仿宋_GB2312"/>
          <w:sz w:val="32"/>
          <w:szCs w:val="32"/>
        </w:rPr>
        <w:t>的原因，可能是企业为</w:t>
      </w:r>
      <w:r>
        <w:rPr>
          <w:rFonts w:hint="eastAsia" w:ascii="Times New Roman" w:hAnsi="Times New Roman" w:eastAsia="仿宋_GB2312"/>
          <w:sz w:val="32"/>
          <w:szCs w:val="32"/>
          <w:shd w:val="clear"/>
          <w:lang w:eastAsia="zh-CN"/>
        </w:rPr>
        <w:t>延长</w:t>
      </w:r>
      <w:r>
        <w:rPr>
          <w:rFonts w:ascii="Times New Roman" w:hAnsi="Times New Roman" w:eastAsia="仿宋_GB2312"/>
          <w:sz w:val="32"/>
          <w:szCs w:val="32"/>
        </w:rPr>
        <w:t>产品保质期，或者弥补产品生产过程</w:t>
      </w:r>
      <w:r>
        <w:rPr>
          <w:rFonts w:hint="eastAsia" w:ascii="Times New Roman" w:hAnsi="Times New Roman" w:eastAsia="仿宋_GB2312"/>
          <w:sz w:val="32"/>
          <w:szCs w:val="32"/>
        </w:rPr>
        <w:t>中</w:t>
      </w:r>
      <w:r>
        <w:rPr>
          <w:rFonts w:ascii="Times New Roman" w:hAnsi="Times New Roman" w:eastAsia="仿宋_GB2312"/>
          <w:sz w:val="32"/>
          <w:szCs w:val="32"/>
        </w:rPr>
        <w:t>卫生条件不佳而使用。</w:t>
      </w:r>
    </w:p>
    <w:p>
      <w:pPr>
        <w:autoSpaceDE w:val="0"/>
        <w:adjustRightInd w:val="0"/>
        <w:snapToGrid w:val="0"/>
        <w:spacing w:line="594" w:lineRule="exact"/>
        <w:ind w:firstLine="640" w:firstLineChars="200"/>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九、亮蓝</w:t>
      </w:r>
    </w:p>
    <w:p>
      <w:pPr>
        <w:autoSpaceDE w:val="0"/>
        <w:adjustRightInd w:val="0"/>
        <w:snapToGrid w:val="0"/>
        <w:spacing w:line="594" w:lineRule="exact"/>
        <w:ind w:firstLine="640" w:firstLineChars="200"/>
        <w:rPr>
          <w:rFonts w:ascii="Times New Roman" w:hAnsi="Times New Roman" w:eastAsia="仿宋_GB2312"/>
          <w:color w:val="000000" w:themeColor="text1"/>
          <w:sz w:val="32"/>
          <w:szCs w:val="32"/>
          <w:shd w:val="clear"/>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亮蓝又名食用蓝色2号，水溶性非偶氮类</w:t>
      </w:r>
      <w:r>
        <w:rPr>
          <w:rFonts w:hint="eastAsia" w:ascii="Times New Roman" w:hAnsi="Times New Roman" w:eastAsia="仿宋_GB2312"/>
          <w:color w:val="000000" w:themeColor="text1"/>
          <w:sz w:val="32"/>
          <w:szCs w:val="32"/>
          <w14:textFill>
            <w14:solidFill>
              <w14:schemeClr w14:val="tx1"/>
            </w14:solidFill>
          </w14:textFill>
        </w:rPr>
        <w:t>化合物，</w:t>
      </w:r>
      <w:r>
        <w:rPr>
          <w:rFonts w:ascii="Times New Roman" w:hAnsi="Times New Roman" w:eastAsia="仿宋_GB2312"/>
          <w:color w:val="000000" w:themeColor="text1"/>
          <w:sz w:val="32"/>
          <w:szCs w:val="32"/>
          <w14:textFill>
            <w14:solidFill>
              <w14:schemeClr w14:val="tx1"/>
            </w14:solidFill>
          </w14:textFill>
        </w:rPr>
        <w:t>是常见的人工合成着色剂，在食品</w:t>
      </w:r>
      <w:r>
        <w:rPr>
          <w:rFonts w:hint="eastAsia" w:ascii="Times New Roman" w:hAnsi="Times New Roman" w:eastAsia="仿宋_GB2312"/>
          <w:color w:val="000000" w:themeColor="text1"/>
          <w:sz w:val="32"/>
          <w:szCs w:val="32"/>
          <w14:textFill>
            <w14:solidFill>
              <w14:schemeClr w14:val="tx1"/>
            </w14:solidFill>
          </w14:textFill>
        </w:rPr>
        <w:t>生产</w:t>
      </w:r>
      <w:r>
        <w:rPr>
          <w:rFonts w:ascii="Times New Roman" w:hAnsi="Times New Roman" w:eastAsia="仿宋_GB2312"/>
          <w:color w:val="000000" w:themeColor="text1"/>
          <w:sz w:val="32"/>
          <w:szCs w:val="32"/>
          <w14:textFill>
            <w14:solidFill>
              <w14:schemeClr w14:val="tx1"/>
            </w14:solidFill>
          </w14:textFill>
        </w:rPr>
        <w:t>中应用广泛。《食品安全国家标准 食品添加剂使用标准》（GB 2760</w:t>
      </w:r>
      <w:r>
        <w:rPr>
          <w:rFonts w:hint="eastAsia" w:ascii="仿宋_GB2312"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2014）中规定，</w:t>
      </w:r>
      <w:r>
        <w:rPr>
          <w:rFonts w:hint="eastAsia" w:ascii="Times New Roman" w:hAnsi="Times New Roman" w:eastAsia="仿宋_GB2312"/>
          <w:color w:val="000000" w:themeColor="text1"/>
          <w:sz w:val="32"/>
          <w:szCs w:val="32"/>
          <w:shd w:val="clear"/>
          <w14:textFill>
            <w14:solidFill>
              <w14:schemeClr w14:val="tx1"/>
            </w14:solidFill>
          </w14:textFill>
        </w:rPr>
        <w:t>话化类蜜饯中不得使用亮蓝，</w:t>
      </w:r>
      <w:r>
        <w:rPr>
          <w:rFonts w:ascii="Times New Roman" w:hAnsi="Times New Roman" w:eastAsia="仿宋_GB2312"/>
          <w:color w:val="000000" w:themeColor="text1"/>
          <w:sz w:val="32"/>
          <w:szCs w:val="32"/>
          <w:shd w:val="clear"/>
          <w14:textFill>
            <w14:solidFill>
              <w14:schemeClr w14:val="tx1"/>
            </w14:solidFill>
          </w14:textFill>
        </w:rPr>
        <w:t>凉果类</w:t>
      </w:r>
      <w:r>
        <w:rPr>
          <w:rFonts w:hint="eastAsia" w:ascii="Times New Roman" w:hAnsi="Times New Roman" w:eastAsia="仿宋_GB2312"/>
          <w:color w:val="000000" w:themeColor="text1"/>
          <w:sz w:val="32"/>
          <w:szCs w:val="32"/>
          <w:shd w:val="clear"/>
          <w14:textFill>
            <w14:solidFill>
              <w14:schemeClr w14:val="tx1"/>
            </w14:solidFill>
          </w14:textFill>
        </w:rPr>
        <w:t>蜜饯</w:t>
      </w:r>
      <w:r>
        <w:rPr>
          <w:rFonts w:ascii="Times New Roman" w:hAnsi="Times New Roman" w:eastAsia="仿宋_GB2312"/>
          <w:color w:val="000000" w:themeColor="text1"/>
          <w:sz w:val="32"/>
          <w:szCs w:val="32"/>
          <w:shd w:val="clear"/>
          <w14:textFill>
            <w14:solidFill>
              <w14:schemeClr w14:val="tx1"/>
            </w14:solidFill>
          </w14:textFill>
        </w:rPr>
        <w:t>中亮蓝的最大使用量为0.025g/kg。</w:t>
      </w:r>
      <w:r>
        <w:rPr>
          <w:rFonts w:hint="eastAsia" w:ascii="Times New Roman" w:hAnsi="Times New Roman" w:eastAsia="仿宋_GB2312"/>
          <w:color w:val="000000" w:themeColor="text1"/>
          <w:sz w:val="32"/>
          <w:szCs w:val="32"/>
          <w:shd w:val="clear"/>
          <w14:textFill>
            <w14:solidFill>
              <w14:schemeClr w14:val="tx1"/>
            </w14:solidFill>
          </w14:textFill>
        </w:rPr>
        <w:t>话化类蜜饯</w:t>
      </w:r>
      <w:r>
        <w:rPr>
          <w:rFonts w:ascii="Times New Roman" w:hAnsi="Times New Roman" w:eastAsia="仿宋_GB2312"/>
          <w:color w:val="000000" w:themeColor="text1"/>
          <w:sz w:val="32"/>
          <w:szCs w:val="32"/>
          <w:shd w:val="clear"/>
          <w14:textFill>
            <w14:solidFill>
              <w14:schemeClr w14:val="tx1"/>
            </w14:solidFill>
          </w14:textFill>
        </w:rPr>
        <w:t>中</w:t>
      </w:r>
      <w:r>
        <w:rPr>
          <w:rFonts w:hint="eastAsia" w:ascii="Times New Roman" w:hAnsi="Times New Roman" w:eastAsia="仿宋_GB2312"/>
          <w:color w:val="000000" w:themeColor="text1"/>
          <w:sz w:val="32"/>
          <w:szCs w:val="32"/>
          <w:shd w:val="clear"/>
          <w14:textFill>
            <w14:solidFill>
              <w14:schemeClr w14:val="tx1"/>
            </w14:solidFill>
          </w14:textFill>
        </w:rPr>
        <w:t>检出亮蓝</w:t>
      </w:r>
      <w:r>
        <w:rPr>
          <w:rFonts w:ascii="Times New Roman" w:hAnsi="Times New Roman" w:eastAsia="仿宋_GB2312"/>
          <w:color w:val="000000" w:themeColor="text1"/>
          <w:sz w:val="32"/>
          <w:szCs w:val="32"/>
          <w:shd w:val="clear"/>
          <w14:textFill>
            <w14:solidFill>
              <w14:schemeClr w14:val="tx1"/>
            </w14:solidFill>
          </w14:textFill>
        </w:rPr>
        <w:t>的原因，可能是生产企业为改善产品色泽、提高市场价值而</w:t>
      </w:r>
      <w:r>
        <w:rPr>
          <w:rFonts w:hint="eastAsia" w:ascii="Times New Roman" w:hAnsi="Times New Roman" w:eastAsia="仿宋_GB2312"/>
          <w:color w:val="000000" w:themeColor="text1"/>
          <w:sz w:val="32"/>
          <w:szCs w:val="32"/>
          <w:shd w:val="clear"/>
          <w14:textFill>
            <w14:solidFill>
              <w14:schemeClr w14:val="tx1"/>
            </w14:solidFill>
          </w14:textFill>
        </w:rPr>
        <w:t>超范围</w:t>
      </w:r>
      <w:r>
        <w:rPr>
          <w:rFonts w:ascii="Times New Roman" w:hAnsi="Times New Roman" w:eastAsia="仿宋_GB2312"/>
          <w:color w:val="000000" w:themeColor="text1"/>
          <w:sz w:val="32"/>
          <w:szCs w:val="32"/>
          <w:shd w:val="clear"/>
          <w14:textFill>
            <w14:solidFill>
              <w14:schemeClr w14:val="tx1"/>
            </w14:solidFill>
          </w14:textFill>
        </w:rPr>
        <w:t>使用，</w:t>
      </w:r>
      <w:r>
        <w:rPr>
          <w:rFonts w:hint="eastAsia" w:ascii="Times New Roman" w:hAnsi="Times New Roman" w:eastAsia="仿宋_GB2312"/>
          <w:color w:val="000000" w:themeColor="text1"/>
          <w:sz w:val="32"/>
          <w:szCs w:val="32"/>
          <w:shd w:val="clear"/>
          <w14:textFill>
            <w14:solidFill>
              <w14:schemeClr w14:val="tx1"/>
            </w14:solidFill>
          </w14:textFill>
        </w:rPr>
        <w:t>也</w:t>
      </w:r>
      <w:r>
        <w:rPr>
          <w:rFonts w:ascii="Times New Roman" w:hAnsi="Times New Roman" w:eastAsia="仿宋_GB2312"/>
          <w:color w:val="000000" w:themeColor="text1"/>
          <w:sz w:val="32"/>
          <w:szCs w:val="32"/>
          <w:shd w:val="clear"/>
          <w14:textFill>
            <w14:solidFill>
              <w14:schemeClr w14:val="tx1"/>
            </w14:solidFill>
          </w14:textFill>
        </w:rPr>
        <w:t>可能是企业掺假造假滥用色素。</w:t>
      </w:r>
      <w:r>
        <w:rPr>
          <w:rFonts w:hint="eastAsia" w:ascii="Times New Roman" w:hAnsi="Times New Roman" w:eastAsia="仿宋_GB2312"/>
          <w:color w:val="000000" w:themeColor="text1"/>
          <w:sz w:val="32"/>
          <w:szCs w:val="32"/>
          <w:shd w:val="clear"/>
          <w14:textFill>
            <w14:solidFill>
              <w14:schemeClr w14:val="tx1"/>
            </w14:solidFill>
          </w14:textFill>
        </w:rPr>
        <w:t>凉果类蜜饯中亮蓝检测值超标的原因，可能是生产过程中计量不准导致终产品亮蓝超标</w:t>
      </w:r>
      <w:r>
        <w:rPr>
          <w:rFonts w:hint="eastAsia" w:ascii="Times New Roman" w:hAnsi="Times New Roman" w:eastAsia="仿宋_GB2312"/>
          <w:color w:val="000000" w:themeColor="text1"/>
          <w:sz w:val="32"/>
          <w:szCs w:val="32"/>
          <w:shd w:val="clear"/>
          <w:lang w:eastAsia="zh-CN"/>
          <w14:textFill>
            <w14:solidFill>
              <w14:schemeClr w14:val="tx1"/>
            </w14:solidFill>
          </w14:textFill>
        </w:rPr>
        <w:t>，</w:t>
      </w:r>
      <w:r>
        <w:rPr>
          <w:rFonts w:hint="eastAsia" w:ascii="Times New Roman" w:hAnsi="Times New Roman" w:eastAsia="仿宋_GB2312"/>
          <w:color w:val="000000" w:themeColor="text1"/>
          <w:sz w:val="32"/>
          <w:szCs w:val="32"/>
          <w:shd w:val="clear"/>
          <w14:textFill>
            <w14:solidFill>
              <w14:schemeClr w14:val="tx1"/>
            </w14:solidFill>
          </w14:textFill>
        </w:rPr>
        <w:t>也可能是生产企业为改善产品色泽</w:t>
      </w:r>
      <w:r>
        <w:rPr>
          <w:rFonts w:hint="eastAsia" w:ascii="Times New Roman" w:hAnsi="Times New Roman" w:eastAsia="仿宋_GB2312"/>
          <w:color w:val="000000" w:themeColor="text1"/>
          <w:sz w:val="32"/>
          <w:szCs w:val="32"/>
          <w:shd w:val="clear"/>
          <w:lang w:eastAsia="zh-CN"/>
          <w14:textFill>
            <w14:solidFill>
              <w14:schemeClr w14:val="tx1"/>
            </w14:solidFill>
          </w14:textFill>
        </w:rPr>
        <w:t>、</w:t>
      </w:r>
      <w:r>
        <w:rPr>
          <w:rFonts w:hint="eastAsia" w:ascii="Times New Roman" w:hAnsi="Times New Roman" w:eastAsia="仿宋_GB2312"/>
          <w:color w:val="000000" w:themeColor="text1"/>
          <w:sz w:val="32"/>
          <w:szCs w:val="32"/>
          <w:shd w:val="clear"/>
          <w14:textFill>
            <w14:solidFill>
              <w14:schemeClr w14:val="tx1"/>
            </w14:solidFill>
          </w14:textFill>
        </w:rPr>
        <w:t>提高市场价值而过量使用</w:t>
      </w:r>
      <w:r>
        <w:rPr>
          <w:rFonts w:hint="eastAsia" w:ascii="Times New Roman" w:hAnsi="Times New Roman" w:eastAsia="仿宋_GB2312"/>
          <w:color w:val="000000" w:themeColor="text1"/>
          <w:sz w:val="32"/>
          <w:szCs w:val="32"/>
          <w:shd w:val="clear"/>
          <w:lang w:eastAsia="zh-CN"/>
          <w14:textFill>
            <w14:solidFill>
              <w14:schemeClr w14:val="tx1"/>
            </w14:solidFill>
          </w14:textFill>
        </w:rPr>
        <w:t>，</w:t>
      </w:r>
      <w:r>
        <w:rPr>
          <w:rFonts w:hint="eastAsia" w:ascii="Times New Roman" w:hAnsi="Times New Roman" w:eastAsia="仿宋_GB2312"/>
          <w:color w:val="000000" w:themeColor="text1"/>
          <w:sz w:val="32"/>
          <w:szCs w:val="32"/>
          <w:shd w:val="clear"/>
          <w14:textFill>
            <w14:solidFill>
              <w14:schemeClr w14:val="tx1"/>
            </w14:solidFill>
          </w14:textFill>
        </w:rPr>
        <w:t>还可能是企业掺假造假滥用色素。</w:t>
      </w:r>
    </w:p>
    <w:p>
      <w:pPr>
        <w:keepNext w:val="0"/>
        <w:keepLines w:val="0"/>
        <w:pageBreakBefore w:val="0"/>
        <w:widowControl w:val="0"/>
        <w:kinsoku/>
        <w:wordWrap/>
        <w:overflowPunct/>
        <w:topLinePunct w:val="0"/>
        <w:autoSpaceDE w:val="0"/>
        <w:autoSpaceDN/>
        <w:bidi w:val="0"/>
        <w:adjustRightInd w:val="0"/>
        <w:snapToGrid w:val="0"/>
        <w:spacing w:line="594" w:lineRule="exact"/>
        <w:ind w:firstLine="640" w:firstLineChars="200"/>
        <w:textAlignment w:val="auto"/>
        <w:outlineLvl w:val="9"/>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十、乙基麦芽酚</w:t>
      </w:r>
    </w:p>
    <w:p>
      <w:pPr>
        <w:autoSpaceDE w:val="0"/>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乙基麦芽酚是一种香味改良剂、增香剂，对食品中原有香味</w:t>
      </w:r>
      <w:r>
        <w:rPr>
          <w:rFonts w:hint="eastAsia" w:eastAsia="仿宋_GB2312"/>
          <w:sz w:val="32"/>
          <w:szCs w:val="32"/>
        </w:rPr>
        <w:t>的</w:t>
      </w:r>
      <w:r>
        <w:rPr>
          <w:rFonts w:hint="eastAsia" w:ascii="Times New Roman" w:hAnsi="Times New Roman" w:eastAsia="仿宋_GB2312"/>
          <w:sz w:val="32"/>
          <w:szCs w:val="32"/>
        </w:rPr>
        <w:t>调和、改善和增效具有显著效果，是允许使用的食品用合成香料。长期大量食用乙基麦芽酚超标的食品可能导致头痛、恶心、呕吐、</w:t>
      </w:r>
      <w:r>
        <w:fldChar w:fldCharType="begin"/>
      </w:r>
      <w:r>
        <w:instrText xml:space="preserve"> HYPERLINK "https://baike.baidu.com/item/%E5%91%BC%E5%90%B8%E5%9B%B0%E9%9A%BE/2540302" \t "https://baike.baidu.com/item/%E4%B9%99%E5%9F%BA%E9%BA%A6%E8%8A%BD%E9%85%9A/_blank" </w:instrText>
      </w:r>
      <w:r>
        <w:fldChar w:fldCharType="separate"/>
      </w:r>
      <w:r>
        <w:rPr>
          <w:rFonts w:ascii="Times New Roman" w:hAnsi="Times New Roman" w:eastAsia="仿宋_GB2312"/>
          <w:sz w:val="32"/>
          <w:szCs w:val="32"/>
        </w:rPr>
        <w:t>呼吸困难</w:t>
      </w:r>
      <w:r>
        <w:rPr>
          <w:rFonts w:ascii="Times New Roman" w:hAnsi="Times New Roman" w:eastAsia="仿宋_GB2312"/>
          <w:sz w:val="32"/>
          <w:szCs w:val="32"/>
        </w:rPr>
        <w:fldChar w:fldCharType="end"/>
      </w:r>
      <w:r>
        <w:rPr>
          <w:rFonts w:hint="eastAsia" w:eastAsia="仿宋_GB2312"/>
          <w:sz w:val="32"/>
          <w:szCs w:val="32"/>
        </w:rPr>
        <w:t>，严重时会造成</w:t>
      </w:r>
      <w:r>
        <w:rPr>
          <w:rFonts w:hint="eastAsia" w:ascii="Times New Roman" w:hAnsi="Times New Roman" w:eastAsia="仿宋_GB2312"/>
          <w:sz w:val="32"/>
          <w:szCs w:val="32"/>
        </w:rPr>
        <w:t>肝脏</w:t>
      </w:r>
      <w:r>
        <w:rPr>
          <w:rFonts w:hint="eastAsia" w:eastAsia="仿宋_GB2312"/>
          <w:sz w:val="32"/>
          <w:szCs w:val="32"/>
        </w:rPr>
        <w:t>损伤</w:t>
      </w:r>
      <w:r>
        <w:rPr>
          <w:rFonts w:hint="eastAsia" w:ascii="Times New Roman" w:hAnsi="Times New Roman" w:eastAsia="仿宋_GB2312"/>
          <w:sz w:val="32"/>
          <w:szCs w:val="32"/>
        </w:rPr>
        <w:t>、骨骼和关节</w:t>
      </w:r>
      <w:r>
        <w:rPr>
          <w:rFonts w:hint="eastAsia" w:eastAsia="仿宋_GB2312"/>
          <w:sz w:val="32"/>
          <w:szCs w:val="32"/>
        </w:rPr>
        <w:t>提前脆变</w:t>
      </w:r>
      <w:r>
        <w:rPr>
          <w:rFonts w:ascii="Times New Roman" w:hAnsi="Times New Roman" w:eastAsia="仿宋_GB2312"/>
          <w:sz w:val="32"/>
          <w:szCs w:val="32"/>
        </w:rPr>
        <w:t>。</w:t>
      </w:r>
      <w:r>
        <w:rPr>
          <w:rFonts w:hint="eastAsia" w:ascii="Times New Roman" w:hAnsi="Times New Roman" w:eastAsia="仿宋_GB2312"/>
          <w:sz w:val="32"/>
          <w:szCs w:val="32"/>
        </w:rPr>
        <w:t>《食品安全国家标准 食品添加剂使用标准》（GB 2760</w:t>
      </w:r>
      <w:r>
        <w:rPr>
          <w:rFonts w:hint="eastAsia" w:eastAsia="仿宋_GB2312"/>
          <w:kern w:val="0"/>
          <w:sz w:val="32"/>
          <w:szCs w:val="32"/>
        </w:rPr>
        <w:t>—</w:t>
      </w:r>
      <w:r>
        <w:rPr>
          <w:rFonts w:hint="eastAsia" w:ascii="Times New Roman" w:hAnsi="Times New Roman" w:eastAsia="仿宋_GB2312"/>
          <w:sz w:val="32"/>
          <w:szCs w:val="32"/>
        </w:rPr>
        <w:t>2014）中规定，植物油脂中不得添加食品用香料、香精。食用油中检出乙基麦芽酚的原因，可能是生产经营者为达到以次充好的目的，在具有特殊香味</w:t>
      </w:r>
      <w:r>
        <w:rPr>
          <w:rFonts w:hint="eastAsia" w:eastAsia="仿宋_GB2312"/>
          <w:sz w:val="32"/>
          <w:szCs w:val="32"/>
        </w:rPr>
        <w:t>的植物油脂中</w:t>
      </w:r>
      <w:r>
        <w:rPr>
          <w:rFonts w:hint="eastAsia" w:ascii="Times New Roman" w:hAnsi="Times New Roman" w:eastAsia="仿宋_GB2312"/>
          <w:sz w:val="32"/>
          <w:szCs w:val="32"/>
        </w:rPr>
        <w:t>违规添加。</w:t>
      </w:r>
    </w:p>
    <w:p>
      <w:pPr>
        <w:keepNext w:val="0"/>
        <w:keepLines w:val="0"/>
        <w:pageBreakBefore w:val="0"/>
        <w:widowControl w:val="0"/>
        <w:kinsoku/>
        <w:wordWrap/>
        <w:overflowPunct/>
        <w:topLinePunct w:val="0"/>
        <w:autoSpaceDE w:val="0"/>
        <w:autoSpaceDN/>
        <w:bidi w:val="0"/>
        <w:adjustRightInd w:val="0"/>
        <w:snapToGrid w:val="0"/>
        <w:spacing w:line="594" w:lineRule="exact"/>
        <w:ind w:firstLine="640" w:firstLineChars="200"/>
        <w:textAlignment w:val="auto"/>
        <w:outlineLvl w:val="9"/>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十一、香兰素</w:t>
      </w:r>
    </w:p>
    <w:p>
      <w:pPr>
        <w:autoSpaceDE w:val="0"/>
        <w:spacing w:line="594" w:lineRule="exact"/>
        <w:ind w:firstLine="640" w:firstLineChars="200"/>
        <w:rPr>
          <w:rFonts w:ascii="Times New Roman" w:hAnsi="Times New Roman" w:eastAsia="仿宋_GB2312"/>
          <w:sz w:val="32"/>
        </w:rPr>
      </w:pPr>
      <w:r>
        <w:rPr>
          <w:rFonts w:ascii="Times New Roman" w:hAnsi="Times New Roman" w:eastAsia="仿宋_GB2312"/>
          <w:sz w:val="32"/>
        </w:rPr>
        <w:t>香兰素是一种常用食品添加剂，因具有香荚兰豆香气及浓郁的奶香，广泛运用于各种需要增加奶香气的调香食品中，尤其是乳制品、烘焙食品、饮料和食用油中</w:t>
      </w:r>
      <w:r>
        <w:rPr>
          <w:rFonts w:hint="eastAsia" w:ascii="Times New Roman" w:hAnsi="Times New Roman" w:eastAsia="仿宋_GB2312"/>
          <w:sz w:val="32"/>
        </w:rPr>
        <w:t>。《食品安全国家标准 食品添加剂使用标准》（GB 2760—2014）中规定，0至6个月婴幼儿配方食品中不得添加任何食用香料</w:t>
      </w:r>
      <w:r>
        <w:rPr>
          <w:rFonts w:hint="eastAsia" w:ascii="Times New Roman" w:hAnsi="Times New Roman" w:eastAsia="仿宋_GB2312"/>
          <w:sz w:val="32"/>
          <w:shd w:val="clear"/>
        </w:rPr>
        <w:t>，较大婴儿和幼儿配方食品可按照规定限量使用香兰素</w:t>
      </w:r>
      <w:r>
        <w:rPr>
          <w:rFonts w:hint="eastAsia" w:ascii="Times New Roman" w:hAnsi="Times New Roman" w:eastAsia="仿宋_GB2312"/>
          <w:sz w:val="32"/>
        </w:rPr>
        <w:t>。</w:t>
      </w:r>
      <w:r>
        <w:rPr>
          <w:rFonts w:hint="eastAsia" w:ascii="Times New Roman" w:hAnsi="Times New Roman" w:eastAsia="仿宋_GB2312"/>
          <w:sz w:val="32"/>
          <w:shd w:val="clear"/>
        </w:rPr>
        <w:t>1段</w:t>
      </w:r>
      <w:r>
        <w:rPr>
          <w:rFonts w:hint="eastAsia" w:ascii="Times New Roman" w:hAnsi="Times New Roman" w:eastAsia="仿宋_GB2312"/>
          <w:sz w:val="32"/>
        </w:rPr>
        <w:t>婴儿配方乳粉检出香兰素的原因，可能是企业在切换不同月龄婴幼儿食品生产线时，清场不彻底导致。</w:t>
      </w:r>
    </w:p>
    <w:p>
      <w:pPr>
        <w:keepNext w:val="0"/>
        <w:keepLines w:val="0"/>
        <w:pageBreakBefore w:val="0"/>
        <w:widowControl w:val="0"/>
        <w:kinsoku/>
        <w:wordWrap/>
        <w:overflowPunct/>
        <w:topLinePunct w:val="0"/>
        <w:autoSpaceDE w:val="0"/>
        <w:autoSpaceDN/>
        <w:bidi w:val="0"/>
        <w:adjustRightInd w:val="0"/>
        <w:snapToGrid w:val="0"/>
        <w:spacing w:line="594" w:lineRule="exact"/>
        <w:ind w:firstLine="640" w:firstLineChars="200"/>
        <w:textAlignment w:val="auto"/>
        <w:outlineLvl w:val="9"/>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十二、铝的残留量（干样品，以Al计）</w:t>
      </w:r>
    </w:p>
    <w:p>
      <w:pPr>
        <w:autoSpaceDE w:val="0"/>
        <w:spacing w:line="594" w:lineRule="exact"/>
        <w:ind w:firstLine="640" w:firstLineChars="200"/>
        <w:rPr>
          <w:rFonts w:eastAsia="仿宋_GB2312"/>
          <w:sz w:val="32"/>
          <w:szCs w:val="32"/>
        </w:rPr>
      </w:pPr>
      <w:r>
        <w:rPr>
          <w:rFonts w:ascii="Times New Roman" w:hAnsi="Times New Roman" w:eastAsia="仿宋_GB2312"/>
          <w:sz w:val="32"/>
          <w:szCs w:val="32"/>
        </w:rPr>
        <w:t>含铝食品添加剂，比如硫酸铝钾（又名钾明矾）、硫酸铝铵（又名铵明矾）等，在食品中作为膨松剂、稳定剂使用，使用后会产生铝残留。含铝食品添加剂按标准使用不会对健康造成危害，但长期食用铝超标的食品</w:t>
      </w:r>
      <w:r>
        <w:rPr>
          <w:rFonts w:hint="eastAsia" w:ascii="Times New Roman" w:hAnsi="Times New Roman" w:eastAsia="仿宋_GB2312"/>
          <w:sz w:val="32"/>
          <w:szCs w:val="32"/>
          <w:lang w:eastAsia="zh-CN"/>
        </w:rPr>
        <w:t>可能</w:t>
      </w:r>
      <w:r>
        <w:rPr>
          <w:rFonts w:ascii="Times New Roman" w:hAnsi="Times New Roman" w:eastAsia="仿宋_GB2312"/>
          <w:sz w:val="32"/>
          <w:szCs w:val="32"/>
        </w:rPr>
        <w:t>会导致运动和学习记忆能力下降。</w:t>
      </w:r>
      <w:r>
        <w:rPr>
          <w:rFonts w:eastAsia="仿宋_GB2312"/>
          <w:sz w:val="32"/>
          <w:szCs w:val="32"/>
        </w:rPr>
        <w:t>《食品安全国家标准</w:t>
      </w:r>
      <w:r>
        <w:rPr>
          <w:rFonts w:hint="eastAsia" w:eastAsia="仿宋_GB2312"/>
          <w:sz w:val="32"/>
          <w:szCs w:val="32"/>
        </w:rPr>
        <w:t xml:space="preserve"> </w:t>
      </w:r>
      <w:r>
        <w:rPr>
          <w:rFonts w:eastAsia="仿宋_GB2312"/>
          <w:sz w:val="32"/>
          <w:szCs w:val="32"/>
        </w:rPr>
        <w:t>食</w:t>
      </w:r>
      <w:r>
        <w:rPr>
          <w:rFonts w:hint="eastAsia" w:eastAsia="仿宋_GB2312"/>
          <w:sz w:val="32"/>
          <w:szCs w:val="32"/>
        </w:rPr>
        <w:t>品</w:t>
      </w:r>
      <w:r>
        <w:rPr>
          <w:rFonts w:eastAsia="仿宋_GB2312"/>
          <w:sz w:val="32"/>
          <w:szCs w:val="32"/>
        </w:rPr>
        <w:t>添加剂使用标准》（</w:t>
      </w:r>
      <w:r>
        <w:rPr>
          <w:rFonts w:ascii="Times New Roman" w:hAnsi="Times New Roman" w:eastAsia="仿宋_GB2312"/>
          <w:sz w:val="32"/>
          <w:szCs w:val="32"/>
        </w:rPr>
        <w:t>GB 2760</w:t>
      </w:r>
      <w:r>
        <w:rPr>
          <w:rFonts w:hint="eastAsia" w:eastAsia="仿宋_GB2312"/>
          <w:sz w:val="32"/>
          <w:szCs w:val="32"/>
        </w:rPr>
        <w:t>—</w:t>
      </w:r>
      <w:r>
        <w:rPr>
          <w:rFonts w:ascii="Times New Roman" w:hAnsi="Times New Roman" w:eastAsia="仿宋_GB2312"/>
          <w:sz w:val="32"/>
          <w:szCs w:val="32"/>
        </w:rPr>
        <w:t>2014</w:t>
      </w:r>
      <w:r>
        <w:rPr>
          <w:rFonts w:eastAsia="仿宋_GB2312"/>
          <w:sz w:val="32"/>
          <w:szCs w:val="32"/>
        </w:rPr>
        <w:t>）中规定</w:t>
      </w:r>
      <w:r>
        <w:rPr>
          <w:rFonts w:hint="eastAsia" w:eastAsia="仿宋_GB2312"/>
          <w:sz w:val="32"/>
          <w:szCs w:val="32"/>
        </w:rPr>
        <w:t>，油炸面制品</w:t>
      </w:r>
      <w:r>
        <w:rPr>
          <w:rFonts w:eastAsia="仿宋_GB2312"/>
          <w:sz w:val="32"/>
          <w:szCs w:val="32"/>
        </w:rPr>
        <w:t>中铝的最大残留限量</w:t>
      </w:r>
      <w:r>
        <w:rPr>
          <w:rFonts w:hint="eastAsia" w:eastAsia="仿宋_GB2312"/>
          <w:sz w:val="32"/>
          <w:szCs w:val="32"/>
        </w:rPr>
        <w:t>值</w:t>
      </w:r>
      <w:r>
        <w:rPr>
          <w:rFonts w:ascii="Times New Roman" w:hAnsi="Times New Roman" w:eastAsia="仿宋_GB2312"/>
          <w:sz w:val="32"/>
          <w:szCs w:val="32"/>
        </w:rPr>
        <w:t>（干样品，以Al计）</w:t>
      </w:r>
      <w:r>
        <w:rPr>
          <w:rFonts w:eastAsia="仿宋_GB2312"/>
          <w:sz w:val="32"/>
          <w:szCs w:val="32"/>
        </w:rPr>
        <w:t>为</w:t>
      </w:r>
      <w:r>
        <w:rPr>
          <w:rFonts w:ascii="Times New Roman" w:hAnsi="Times New Roman" w:eastAsia="仿宋_GB2312"/>
          <w:sz w:val="32"/>
          <w:szCs w:val="32"/>
        </w:rPr>
        <w:t>100mg/kg</w:t>
      </w:r>
      <w:r>
        <w:rPr>
          <w:rFonts w:eastAsia="仿宋_GB2312"/>
          <w:sz w:val="32"/>
          <w:szCs w:val="32"/>
        </w:rPr>
        <w:t>。</w:t>
      </w:r>
      <w:r>
        <w:rPr>
          <w:rFonts w:hint="eastAsia" w:eastAsia="仿宋_GB2312"/>
          <w:sz w:val="32"/>
          <w:szCs w:val="32"/>
        </w:rPr>
        <w:t>油炸面制品中</w:t>
      </w:r>
      <w:r>
        <w:rPr>
          <w:rFonts w:eastAsia="仿宋_GB2312"/>
          <w:sz w:val="32"/>
          <w:szCs w:val="32"/>
        </w:rPr>
        <w:t>铝的残留量</w:t>
      </w:r>
      <w:r>
        <w:rPr>
          <w:rFonts w:hint="eastAsia" w:eastAsia="仿宋_GB2312"/>
          <w:sz w:val="32"/>
          <w:szCs w:val="32"/>
        </w:rPr>
        <w:t>（干样品，以</w:t>
      </w:r>
      <w:r>
        <w:rPr>
          <w:rFonts w:ascii="Times New Roman" w:hAnsi="Times New Roman" w:eastAsia="仿宋_GB2312"/>
          <w:sz w:val="32"/>
          <w:szCs w:val="32"/>
        </w:rPr>
        <w:t>Al</w:t>
      </w:r>
      <w:r>
        <w:rPr>
          <w:rFonts w:hint="eastAsia" w:eastAsia="仿宋_GB2312"/>
          <w:sz w:val="32"/>
          <w:szCs w:val="32"/>
        </w:rPr>
        <w:t>计）超标</w:t>
      </w:r>
      <w:r>
        <w:rPr>
          <w:rFonts w:eastAsia="仿宋_GB2312"/>
          <w:sz w:val="32"/>
          <w:szCs w:val="32"/>
        </w:rPr>
        <w:t>的原因</w:t>
      </w:r>
      <w:r>
        <w:rPr>
          <w:rFonts w:hint="eastAsia" w:eastAsia="仿宋_GB2312"/>
          <w:sz w:val="32"/>
          <w:szCs w:val="32"/>
        </w:rPr>
        <w:t>，</w:t>
      </w:r>
      <w:r>
        <w:rPr>
          <w:rFonts w:eastAsia="仿宋_GB2312"/>
          <w:sz w:val="32"/>
          <w:szCs w:val="32"/>
        </w:rPr>
        <w:t>可能</w:t>
      </w:r>
      <w:r>
        <w:rPr>
          <w:rFonts w:hint="eastAsia" w:eastAsia="仿宋_GB2312"/>
          <w:sz w:val="32"/>
          <w:szCs w:val="32"/>
        </w:rPr>
        <w:t>是个别商家为增加产品口感，在生产加工过程中超限量使用含铝食品添加剂，或者其使用的复配添加剂中铝含量过高。</w:t>
      </w:r>
    </w:p>
    <w:p>
      <w:pPr>
        <w:keepNext w:val="0"/>
        <w:keepLines w:val="0"/>
        <w:pageBreakBefore w:val="0"/>
        <w:widowControl w:val="0"/>
        <w:kinsoku/>
        <w:wordWrap/>
        <w:overflowPunct/>
        <w:topLinePunct w:val="0"/>
        <w:autoSpaceDE w:val="0"/>
        <w:autoSpaceDN/>
        <w:bidi w:val="0"/>
        <w:adjustRightInd w:val="0"/>
        <w:snapToGrid w:val="0"/>
        <w:spacing w:line="594" w:lineRule="exact"/>
        <w:ind w:firstLine="640" w:firstLineChars="200"/>
        <w:textAlignment w:val="auto"/>
        <w:outlineLvl w:val="9"/>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十三、苋菜红</w:t>
      </w:r>
    </w:p>
    <w:p>
      <w:pPr>
        <w:autoSpaceDE w:val="0"/>
        <w:adjustRightInd w:val="0"/>
        <w:snapToGrid w:val="0"/>
        <w:spacing w:line="594"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苋菜红又名蓝光酸性红，偶氮类化合物，是常见的人工合成着色剂，在食品生产中应用广泛。如果长期摄入苋菜红超标的食品，存在致畸、致癌的可能性。《食品安全国家标准 食品添加剂使用标准》（GB 2760</w:t>
      </w:r>
      <w:r>
        <w:rPr>
          <w:rFonts w:hint="eastAsia" w:ascii="仿宋_GB2312"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2014）中规定，</w:t>
      </w:r>
      <w:r>
        <w:rPr>
          <w:rFonts w:ascii="Times New Roman" w:hAnsi="Times New Roman" w:eastAsia="仿宋_GB2312"/>
          <w:color w:val="000000" w:themeColor="text1"/>
          <w:sz w:val="32"/>
          <w:szCs w:val="32"/>
          <w:shd w:val="clear"/>
          <w14:textFill>
            <w14:solidFill>
              <w14:schemeClr w14:val="tx1"/>
            </w14:solidFill>
          </w14:textFill>
        </w:rPr>
        <w:t>蜜饯凉果中苋菜红的最大使用量为0.05g/kg。</w:t>
      </w:r>
      <w:r>
        <w:rPr>
          <w:rFonts w:hint="eastAsia" w:ascii="Times New Roman" w:hAnsi="Times New Roman" w:eastAsia="仿宋_GB2312"/>
          <w:color w:val="000000" w:themeColor="text1"/>
          <w:sz w:val="32"/>
          <w:szCs w:val="32"/>
          <w:shd w:val="clear"/>
          <w:lang w:eastAsia="zh-CN"/>
          <w14:textFill>
            <w14:solidFill>
              <w14:schemeClr w14:val="tx1"/>
            </w14:solidFill>
          </w14:textFill>
        </w:rPr>
        <w:t>凉果类</w:t>
      </w:r>
      <w:r>
        <w:rPr>
          <w:rFonts w:hint="eastAsia" w:ascii="Times New Roman" w:hAnsi="Times New Roman" w:eastAsia="仿宋_GB2312"/>
          <w:color w:val="000000" w:themeColor="text1"/>
          <w:sz w:val="32"/>
          <w:szCs w:val="32"/>
          <w:shd w:val="clear"/>
          <w14:textFill>
            <w14:solidFill>
              <w14:schemeClr w14:val="tx1"/>
            </w14:solidFill>
          </w14:textFill>
        </w:rPr>
        <w:t>蜜饯</w:t>
      </w:r>
      <w:r>
        <w:rPr>
          <w:rFonts w:ascii="Times New Roman" w:hAnsi="Times New Roman" w:eastAsia="仿宋_GB2312"/>
          <w:color w:val="000000" w:themeColor="text1"/>
          <w:sz w:val="32"/>
          <w:szCs w:val="32"/>
          <w:shd w:val="clear"/>
          <w14:textFill>
            <w14:solidFill>
              <w14:schemeClr w14:val="tx1"/>
            </w14:solidFill>
          </w14:textFill>
        </w:rPr>
        <w:t>中苋菜</w:t>
      </w:r>
      <w:r>
        <w:rPr>
          <w:rFonts w:ascii="Times New Roman" w:hAnsi="Times New Roman" w:eastAsia="仿宋_GB2312"/>
          <w:color w:val="000000" w:themeColor="text1"/>
          <w:sz w:val="32"/>
          <w:szCs w:val="32"/>
          <w14:textFill>
            <w14:solidFill>
              <w14:schemeClr w14:val="tx1"/>
            </w14:solidFill>
          </w14:textFill>
        </w:rPr>
        <w:t>红</w:t>
      </w:r>
      <w:r>
        <w:rPr>
          <w:rFonts w:hint="eastAsia" w:ascii="Times New Roman" w:hAnsi="Times New Roman" w:eastAsia="仿宋_GB2312"/>
          <w:color w:val="000000" w:themeColor="text1"/>
          <w:sz w:val="32"/>
          <w:szCs w:val="32"/>
          <w14:textFill>
            <w14:solidFill>
              <w14:schemeClr w14:val="tx1"/>
            </w14:solidFill>
          </w14:textFill>
        </w:rPr>
        <w:t>检测值</w:t>
      </w:r>
      <w:r>
        <w:rPr>
          <w:rFonts w:ascii="Times New Roman" w:hAnsi="Times New Roman" w:eastAsia="仿宋_GB2312"/>
          <w:color w:val="000000" w:themeColor="text1"/>
          <w:sz w:val="32"/>
          <w:szCs w:val="32"/>
          <w14:textFill>
            <w14:solidFill>
              <w14:schemeClr w14:val="tx1"/>
            </w14:solidFill>
          </w14:textFill>
        </w:rPr>
        <w:t>超标的原因，可能是生产过程中计量不准导致终产品</w:t>
      </w:r>
      <w:r>
        <w:rPr>
          <w:rFonts w:hint="eastAsia" w:ascii="Times New Roman" w:hAnsi="Times New Roman" w:eastAsia="仿宋_GB2312"/>
          <w:color w:val="000000" w:themeColor="text1"/>
          <w:sz w:val="32"/>
          <w:szCs w:val="32"/>
          <w14:textFill>
            <w14:solidFill>
              <w14:schemeClr w14:val="tx1"/>
            </w14:solidFill>
          </w14:textFill>
        </w:rPr>
        <w:t>苋菜红</w:t>
      </w:r>
      <w:r>
        <w:rPr>
          <w:rFonts w:ascii="Times New Roman" w:hAnsi="Times New Roman" w:eastAsia="仿宋_GB2312"/>
          <w:color w:val="000000" w:themeColor="text1"/>
          <w:sz w:val="32"/>
          <w:szCs w:val="32"/>
          <w14:textFill>
            <w14:solidFill>
              <w14:schemeClr w14:val="tx1"/>
            </w14:solidFill>
          </w14:textFill>
        </w:rPr>
        <w:t>超标</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也</w:t>
      </w:r>
      <w:r>
        <w:rPr>
          <w:rFonts w:ascii="Times New Roman" w:hAnsi="Times New Roman" w:eastAsia="仿宋_GB2312"/>
          <w:color w:val="000000" w:themeColor="text1"/>
          <w:sz w:val="32"/>
          <w:szCs w:val="32"/>
          <w14:textFill>
            <w14:solidFill>
              <w14:schemeClr w14:val="tx1"/>
            </w14:solidFill>
          </w14:textFill>
        </w:rPr>
        <w:t>可能是生产企业为改善产品色泽</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提高市场价值而过量使用</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还可能是企业掺假造假滥用色素</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autoSpaceDE w:val="0"/>
        <w:adjustRightInd w:val="0"/>
        <w:snapToGrid w:val="0"/>
        <w:spacing w:line="594"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十四、日落黄</w:t>
      </w:r>
    </w:p>
    <w:p>
      <w:pPr>
        <w:autoSpaceDE w:val="0"/>
        <w:adjustRightInd w:val="0"/>
        <w:snapToGrid w:val="0"/>
        <w:spacing w:line="594"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日落黄又名食用黄色3号，是常见的人工合成着色剂，在食品生产中应用广泛。如果长期摄入日落黄超标的食品，会对人体健康造成伤害，可能会引起风疹、荨麻疹、腹泻、小儿多动症。《食品安全国家标准</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食品添加剂使用标准》（GB 2760</w:t>
      </w:r>
      <w:r>
        <w:rPr>
          <w:rFonts w:hint="eastAsia" w:ascii="仿宋_GB2312"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2014）中规定，蜜饯凉果中日落黄的最大使用量为0.1g/kg。</w:t>
      </w:r>
      <w:r>
        <w:rPr>
          <w:rFonts w:hint="eastAsia" w:ascii="Times New Roman" w:hAnsi="Times New Roman" w:eastAsia="仿宋_GB2312"/>
          <w:color w:val="000000" w:themeColor="text1"/>
          <w:sz w:val="32"/>
          <w:szCs w:val="32"/>
          <w14:textFill>
            <w14:solidFill>
              <w14:schemeClr w14:val="tx1"/>
            </w14:solidFill>
          </w14:textFill>
        </w:rPr>
        <w:t>凉果类蜜饯</w:t>
      </w:r>
      <w:r>
        <w:rPr>
          <w:rFonts w:ascii="Times New Roman" w:hAnsi="Times New Roman" w:eastAsia="仿宋_GB2312"/>
          <w:color w:val="000000" w:themeColor="text1"/>
          <w:sz w:val="32"/>
          <w:szCs w:val="32"/>
          <w14:textFill>
            <w14:solidFill>
              <w14:schemeClr w14:val="tx1"/>
            </w14:solidFill>
          </w14:textFill>
        </w:rPr>
        <w:t>中日落黄</w:t>
      </w:r>
      <w:r>
        <w:rPr>
          <w:rFonts w:hint="eastAsia" w:ascii="Times New Roman" w:hAnsi="Times New Roman" w:eastAsia="仿宋_GB2312"/>
          <w:color w:val="000000" w:themeColor="text1"/>
          <w:sz w:val="32"/>
          <w:szCs w:val="32"/>
          <w14:textFill>
            <w14:solidFill>
              <w14:schemeClr w14:val="tx1"/>
            </w14:solidFill>
          </w14:textFill>
        </w:rPr>
        <w:t>检测值</w:t>
      </w:r>
      <w:r>
        <w:rPr>
          <w:rFonts w:ascii="Times New Roman" w:hAnsi="Times New Roman" w:eastAsia="仿宋_GB2312"/>
          <w:color w:val="000000" w:themeColor="text1"/>
          <w:sz w:val="32"/>
          <w:szCs w:val="32"/>
          <w14:textFill>
            <w14:solidFill>
              <w14:schemeClr w14:val="tx1"/>
            </w14:solidFill>
          </w14:textFill>
        </w:rPr>
        <w:t>超标的原因，</w:t>
      </w:r>
      <w:r>
        <w:rPr>
          <w:rFonts w:ascii="Times New Roman" w:hAnsi="Times New Roman" w:eastAsia="仿宋_GB2312"/>
          <w:color w:val="000000" w:themeColor="text1"/>
          <w:sz w:val="32"/>
          <w:szCs w:val="32"/>
          <w:shd w:val="clear"/>
          <w14:textFill>
            <w14:solidFill>
              <w14:schemeClr w14:val="tx1"/>
            </w14:solidFill>
          </w14:textFill>
        </w:rPr>
        <w:t>可能是生产过程中计量不准导致终产品日落黄超标，也可能是生</w:t>
      </w:r>
      <w:r>
        <w:rPr>
          <w:rFonts w:ascii="Times New Roman" w:hAnsi="Times New Roman" w:eastAsia="仿宋_GB2312"/>
          <w:color w:val="000000" w:themeColor="text1"/>
          <w:sz w:val="32"/>
          <w:szCs w:val="32"/>
          <w14:textFill>
            <w14:solidFill>
              <w14:schemeClr w14:val="tx1"/>
            </w14:solidFill>
          </w14:textFill>
        </w:rPr>
        <w:t>产企业为改善产品色泽、提高市场价值而过量使用，还可能是企业掺假造假滥用色素。</w:t>
      </w:r>
    </w:p>
    <w:p>
      <w:pPr>
        <w:autoSpaceDE w:val="0"/>
        <w:adjustRightInd w:val="0"/>
        <w:snapToGrid w:val="0"/>
        <w:spacing w:line="594" w:lineRule="exact"/>
        <w:ind w:firstLine="640" w:firstLineChars="200"/>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十</w:t>
      </w:r>
      <w:r>
        <w:rPr>
          <w:rFonts w:hint="eastAsia" w:ascii="Times New Roman" w:hAnsi="Times New Roman" w:eastAsia="黑体"/>
          <w:color w:val="000000" w:themeColor="text1"/>
          <w:sz w:val="32"/>
          <w:szCs w:val="32"/>
          <w:lang w:eastAsia="zh-CN"/>
          <w14:textFill>
            <w14:solidFill>
              <w14:schemeClr w14:val="tx1"/>
            </w14:solidFill>
          </w14:textFill>
        </w:rPr>
        <w:t>五</w:t>
      </w:r>
      <w:r>
        <w:rPr>
          <w:rFonts w:hint="eastAsia" w:ascii="Times New Roman" w:hAnsi="Times New Roman" w:eastAsia="黑体"/>
          <w:color w:val="000000" w:themeColor="text1"/>
          <w:sz w:val="32"/>
          <w:szCs w:val="32"/>
          <w14:textFill>
            <w14:solidFill>
              <w14:schemeClr w14:val="tx1"/>
            </w14:solidFill>
          </w14:textFill>
        </w:rPr>
        <w:t>、脱氢乙酸及其钠盐（以脱氢乙酸计）</w:t>
      </w:r>
    </w:p>
    <w:p>
      <w:pPr>
        <w:autoSpaceDE w:val="0"/>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脱氢乙酸及其钠盐作为一种广谱食品防腐剂，对霉菌和酵母菌的抑制能力强。脱氢乙酸及其钠盐能被人体完全吸收，并能抑制人体内多种氧化酶，长期过量摄入脱氢乙酸及其钠盐会危害人体健康。《食品安全国家标准 食品添加剂使用标准》（GB 2760—2014）中规定</w:t>
      </w:r>
      <w:r>
        <w:rPr>
          <w:rFonts w:hint="eastAsia" w:eastAsia="仿宋_GB2312"/>
          <w:sz w:val="32"/>
          <w:szCs w:val="32"/>
        </w:rPr>
        <w:t>，</w:t>
      </w:r>
      <w:r>
        <w:rPr>
          <w:rFonts w:hint="eastAsia" w:ascii="Times New Roman" w:hAnsi="Times New Roman" w:eastAsia="仿宋_GB2312"/>
          <w:sz w:val="32"/>
          <w:szCs w:val="32"/>
        </w:rPr>
        <w:t>糕点中脱氢乙酸及其钠盐</w:t>
      </w:r>
      <w:r>
        <w:rPr>
          <w:rFonts w:hint="eastAsia" w:eastAsia="仿宋_GB2312"/>
          <w:sz w:val="32"/>
          <w:szCs w:val="32"/>
        </w:rPr>
        <w:t>（</w:t>
      </w:r>
      <w:r>
        <w:rPr>
          <w:rFonts w:hint="eastAsia" w:ascii="Times New Roman" w:hAnsi="Times New Roman" w:eastAsia="仿宋_GB2312"/>
          <w:sz w:val="32"/>
          <w:szCs w:val="32"/>
        </w:rPr>
        <w:t>以脱氢乙酸计</w:t>
      </w:r>
      <w:r>
        <w:rPr>
          <w:rFonts w:hint="eastAsia" w:eastAsia="仿宋_GB2312"/>
          <w:sz w:val="32"/>
          <w:szCs w:val="32"/>
        </w:rPr>
        <w:t>）</w:t>
      </w:r>
      <w:r>
        <w:rPr>
          <w:rFonts w:hint="eastAsia" w:ascii="Times New Roman" w:hAnsi="Times New Roman" w:eastAsia="仿宋_GB2312"/>
          <w:sz w:val="32"/>
          <w:szCs w:val="32"/>
        </w:rPr>
        <w:t>最大使用量为0.5g/kg。</w:t>
      </w:r>
      <w:r>
        <w:rPr>
          <w:rFonts w:hint="eastAsia" w:eastAsia="仿宋_GB2312"/>
          <w:sz w:val="32"/>
          <w:szCs w:val="32"/>
        </w:rPr>
        <w:t>糕点中</w:t>
      </w:r>
      <w:r>
        <w:rPr>
          <w:rFonts w:hint="eastAsia" w:ascii="Times New Roman" w:hAnsi="Times New Roman" w:eastAsia="仿宋_GB2312"/>
          <w:sz w:val="32"/>
          <w:szCs w:val="32"/>
        </w:rPr>
        <w:t>脱氢乙酸及其钠盐</w:t>
      </w:r>
      <w:r>
        <w:rPr>
          <w:rFonts w:hint="eastAsia" w:eastAsia="仿宋_GB2312"/>
          <w:sz w:val="32"/>
          <w:szCs w:val="32"/>
        </w:rPr>
        <w:t>（</w:t>
      </w:r>
      <w:r>
        <w:rPr>
          <w:rFonts w:hint="eastAsia" w:ascii="Times New Roman" w:hAnsi="Times New Roman" w:eastAsia="仿宋_GB2312"/>
          <w:sz w:val="32"/>
          <w:szCs w:val="32"/>
        </w:rPr>
        <w:t>以脱氢乙酸计</w:t>
      </w:r>
      <w:r>
        <w:rPr>
          <w:rFonts w:hint="eastAsia" w:eastAsia="仿宋_GB2312"/>
          <w:sz w:val="32"/>
          <w:szCs w:val="32"/>
        </w:rPr>
        <w:t>）</w:t>
      </w:r>
      <w:r>
        <w:rPr>
          <w:rFonts w:hint="eastAsia" w:ascii="Times New Roman" w:hAnsi="Times New Roman" w:eastAsia="仿宋_GB2312"/>
          <w:sz w:val="32"/>
          <w:szCs w:val="32"/>
        </w:rPr>
        <w:t>检测值超标的原因，可能是生产企业为</w:t>
      </w:r>
      <w:r>
        <w:rPr>
          <w:rFonts w:hint="eastAsia" w:eastAsia="仿宋_GB2312"/>
          <w:sz w:val="32"/>
          <w:szCs w:val="32"/>
        </w:rPr>
        <w:t>防止食品腐败变质</w:t>
      </w:r>
      <w:r>
        <w:rPr>
          <w:rFonts w:hint="eastAsia" w:ascii="Times New Roman" w:hAnsi="Times New Roman" w:eastAsia="仿宋_GB2312"/>
          <w:sz w:val="32"/>
          <w:szCs w:val="32"/>
        </w:rPr>
        <w:t>超限量使用了该食品添加剂，也可能是其使用的复配添加剂中该添加剂含量较高</w:t>
      </w:r>
      <w:r>
        <w:rPr>
          <w:rFonts w:hint="eastAsia" w:eastAsia="仿宋_GB2312"/>
          <w:sz w:val="32"/>
          <w:szCs w:val="32"/>
        </w:rPr>
        <w:t>，</w:t>
      </w:r>
      <w:r>
        <w:rPr>
          <w:rFonts w:hint="eastAsia" w:ascii="Times New Roman" w:hAnsi="Times New Roman" w:eastAsia="仿宋_GB2312"/>
          <w:sz w:val="32"/>
          <w:szCs w:val="32"/>
        </w:rPr>
        <w:t>还可能是在添加过程中</w:t>
      </w:r>
      <w:r>
        <w:rPr>
          <w:rFonts w:ascii="Times New Roman" w:hAnsi="Times New Roman" w:eastAsia="仿宋_GB2312"/>
          <w:sz w:val="32"/>
          <w:szCs w:val="32"/>
        </w:rPr>
        <w:t>未</w:t>
      </w:r>
      <w:r>
        <w:rPr>
          <w:rFonts w:hint="eastAsia" w:ascii="Times New Roman" w:hAnsi="Times New Roman" w:eastAsia="仿宋_GB2312"/>
          <w:sz w:val="32"/>
          <w:szCs w:val="32"/>
        </w:rPr>
        <w:t>准确计量。</w:t>
      </w:r>
    </w:p>
    <w:p>
      <w:pPr>
        <w:autoSpaceDE w:val="0"/>
        <w:spacing w:line="594" w:lineRule="exact"/>
        <w:ind w:firstLine="640" w:firstLineChars="200"/>
        <w:rPr>
          <w:rFonts w:ascii="Times New Roman" w:hAnsi="Times New Roman" w:eastAsia="黑体" w:cs="黑体"/>
          <w:spacing w:val="0"/>
          <w:sz w:val="32"/>
          <w:szCs w:val="32"/>
        </w:rPr>
      </w:pPr>
      <w:r>
        <w:rPr>
          <w:rFonts w:hint="eastAsia" w:ascii="黑体" w:hAnsi="黑体" w:eastAsia="黑体"/>
          <w:spacing w:val="0"/>
          <w:sz w:val="32"/>
          <w:szCs w:val="32"/>
        </w:rPr>
        <w:t>十</w:t>
      </w:r>
      <w:r>
        <w:rPr>
          <w:rFonts w:hint="eastAsia" w:ascii="黑体" w:hAnsi="黑体" w:eastAsia="黑体"/>
          <w:spacing w:val="0"/>
          <w:sz w:val="32"/>
          <w:szCs w:val="32"/>
          <w:lang w:eastAsia="zh-CN"/>
        </w:rPr>
        <w:t>六</w:t>
      </w:r>
      <w:r>
        <w:rPr>
          <w:rFonts w:hint="eastAsia" w:ascii="黑体" w:hAnsi="黑体" w:eastAsia="黑体"/>
          <w:spacing w:val="0"/>
          <w:sz w:val="32"/>
          <w:szCs w:val="32"/>
        </w:rPr>
        <w:t>、</w:t>
      </w:r>
      <w:r>
        <w:rPr>
          <w:rFonts w:hint="eastAsia" w:ascii="Times New Roman" w:hAnsi="Times New Roman" w:eastAsia="黑体" w:cs="黑体"/>
          <w:spacing w:val="0"/>
          <w:sz w:val="32"/>
          <w:szCs w:val="32"/>
        </w:rPr>
        <w:t>防腐剂混合使用时各自用量占其最大使用量的比例之和</w:t>
      </w:r>
    </w:p>
    <w:p>
      <w:pPr>
        <w:autoSpaceDE w:val="0"/>
        <w:spacing w:line="594"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防腐剂是常见的食品添加剂，指天然或合成的化学成分，用于延缓或抑制由微生物引起的食品腐败变质。长期食用防腐剂超标的食品会对人体健康造成损害。《食品安全国家标准 食品添加剂使用标准》（GB 2760—2014）中规定，防腐剂在混合使用时各自用量占其最大使用量的比例之和不应超过1。防腐剂混合使用时各自用量占其最大使用量的比例之和</w:t>
      </w:r>
      <w:r>
        <w:rPr>
          <w:rFonts w:hint="eastAsia" w:ascii="Times New Roman" w:hAnsi="Times New Roman" w:eastAsia="仿宋_GB2312" w:cs="仿宋_GB2312"/>
          <w:sz w:val="32"/>
          <w:szCs w:val="32"/>
          <w:shd w:val="clear"/>
        </w:rPr>
        <w:t>检测值</w:t>
      </w:r>
      <w:r>
        <w:rPr>
          <w:rFonts w:hint="eastAsia" w:ascii="Times New Roman" w:hAnsi="Times New Roman" w:eastAsia="仿宋_GB2312" w:cs="仿宋_GB2312"/>
          <w:sz w:val="32"/>
          <w:szCs w:val="32"/>
        </w:rPr>
        <w:t>超标的原因，可能是生产企业在生产加工过程中未严格控制各防腐剂的用量造成的。</w:t>
      </w:r>
    </w:p>
    <w:p>
      <w:pPr>
        <w:autoSpaceDE w:val="0"/>
        <w:spacing w:line="594" w:lineRule="exact"/>
        <w:ind w:firstLine="640" w:firstLineChars="200"/>
        <w:rPr>
          <w:rFonts w:hint="eastAsia" w:ascii="黑体" w:hAnsi="黑体" w:eastAsia="黑体"/>
          <w:spacing w:val="0"/>
          <w:sz w:val="32"/>
          <w:szCs w:val="32"/>
        </w:rPr>
      </w:pPr>
      <w:r>
        <w:rPr>
          <w:rFonts w:hint="eastAsia" w:ascii="黑体" w:hAnsi="黑体" w:eastAsia="黑体"/>
          <w:spacing w:val="0"/>
          <w:sz w:val="32"/>
          <w:szCs w:val="32"/>
        </w:rPr>
        <w:t>十</w:t>
      </w:r>
      <w:r>
        <w:rPr>
          <w:rFonts w:hint="eastAsia" w:ascii="黑体" w:hAnsi="黑体" w:eastAsia="黑体"/>
          <w:spacing w:val="0"/>
          <w:sz w:val="32"/>
          <w:szCs w:val="32"/>
          <w:lang w:eastAsia="zh-CN"/>
        </w:rPr>
        <w:t>七</w:t>
      </w:r>
      <w:r>
        <w:rPr>
          <w:rFonts w:hint="eastAsia" w:ascii="黑体" w:hAnsi="黑体" w:eastAsia="黑体"/>
          <w:spacing w:val="0"/>
          <w:sz w:val="32"/>
          <w:szCs w:val="32"/>
        </w:rPr>
        <w:t>、酸价（以脂肪计）</w:t>
      </w:r>
    </w:p>
    <w:p>
      <w:pPr>
        <w:autoSpaceDE w:val="0"/>
        <w:autoSpaceDN w:val="0"/>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酸价</w:t>
      </w:r>
      <w:r>
        <w:rPr>
          <w:rFonts w:hint="eastAsia" w:ascii="Times New Roman" w:hAnsi="Times New Roman" w:eastAsia="仿宋_GB2312"/>
          <w:sz w:val="32"/>
          <w:szCs w:val="32"/>
        </w:rPr>
        <w:t>，又称酸值，</w:t>
      </w:r>
      <w:r>
        <w:rPr>
          <w:rFonts w:ascii="Times New Roman" w:hAnsi="Times New Roman" w:eastAsia="仿宋_GB2312"/>
          <w:sz w:val="32"/>
          <w:szCs w:val="32"/>
        </w:rPr>
        <w:t>主要反映食品中的油脂酸败程度。酸价超标会导致食品有哈喇味，超标严重时所产生的醛、酮、酸会破坏脂溶性维生素，导致肠胃不适。</w:t>
      </w:r>
      <w:r>
        <w:rPr>
          <w:rFonts w:hint="eastAsia" w:ascii="Times New Roman" w:hAnsi="Times New Roman" w:eastAsia="仿宋_GB2312"/>
          <w:sz w:val="32"/>
          <w:szCs w:val="32"/>
        </w:rPr>
        <w:t>《食品安全国家标准 膨化食品》（GB 17401—2014）中规定，膨化食品中酸价（以脂肪计）的最大限量值为5mg/g。膨化食品中酸价（以脂肪计）检测值超标的原因，可能是企业原料采购把关不严，也可能是生产工艺不达标，还可能与产品储藏条件不当有关。</w:t>
      </w:r>
    </w:p>
    <w:p>
      <w:pPr>
        <w:autoSpaceDE w:val="0"/>
        <w:spacing w:line="594" w:lineRule="exact"/>
        <w:ind w:firstLine="640" w:firstLineChars="200"/>
        <w:rPr>
          <w:rFonts w:ascii="Times New Roman" w:hAnsi="Times New Roman" w:eastAsia="黑体" w:cstheme="minorBidi"/>
          <w:spacing w:val="-12"/>
          <w:sz w:val="32"/>
          <w:szCs w:val="32"/>
        </w:rPr>
      </w:pPr>
      <w:r>
        <w:rPr>
          <w:rFonts w:hint="eastAsia" w:ascii="黑体" w:hAnsi="黑体" w:eastAsia="黑体"/>
          <w:spacing w:val="0"/>
          <w:sz w:val="32"/>
          <w:szCs w:val="32"/>
        </w:rPr>
        <w:t>十</w:t>
      </w:r>
      <w:r>
        <w:rPr>
          <w:rFonts w:hint="eastAsia" w:ascii="黑体" w:hAnsi="黑体" w:eastAsia="黑体"/>
          <w:spacing w:val="0"/>
          <w:sz w:val="32"/>
          <w:szCs w:val="32"/>
          <w:lang w:eastAsia="zh-CN"/>
        </w:rPr>
        <w:t>八</w:t>
      </w:r>
      <w:r>
        <w:rPr>
          <w:rFonts w:hint="eastAsia" w:ascii="黑体" w:hAnsi="黑体" w:eastAsia="黑体"/>
          <w:spacing w:val="0"/>
          <w:sz w:val="32"/>
          <w:szCs w:val="32"/>
        </w:rPr>
        <w:t>、过氧化值（以脂肪计）</w:t>
      </w:r>
    </w:p>
    <w:p>
      <w:pPr>
        <w:autoSpaceDE w:val="0"/>
        <w:spacing w:line="594"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rPr>
        <w:t>过氧化值是油脂酸败的早期指标</w:t>
      </w:r>
      <w:r>
        <w:rPr>
          <w:rFonts w:hint="eastAsia" w:ascii="Times New Roman" w:hAnsi="Times New Roman" w:eastAsia="仿宋_GB2312"/>
          <w:sz w:val="32"/>
          <w:szCs w:val="32"/>
        </w:rPr>
        <w:t>，主要反映油脂被氧化的程度</w:t>
      </w:r>
      <w:r>
        <w:rPr>
          <w:rFonts w:ascii="Times New Roman" w:hAnsi="Times New Roman" w:eastAsia="仿宋_GB2312"/>
          <w:sz w:val="32"/>
          <w:szCs w:val="32"/>
        </w:rPr>
        <w:t>。</w:t>
      </w:r>
      <w:r>
        <w:rPr>
          <w:rFonts w:hint="eastAsia" w:ascii="Times New Roman" w:hAnsi="Times New Roman" w:eastAsia="仿宋_GB2312"/>
          <w:sz w:val="32"/>
          <w:szCs w:val="32"/>
        </w:rPr>
        <w:t>食用过氧化值超标的食品</w:t>
      </w:r>
      <w:r>
        <w:rPr>
          <w:rFonts w:ascii="Times New Roman" w:hAnsi="Times New Roman" w:eastAsia="仿宋_GB2312"/>
          <w:sz w:val="32"/>
          <w:szCs w:val="32"/>
        </w:rPr>
        <w:t>一般不会对人体</w:t>
      </w:r>
      <w:r>
        <w:rPr>
          <w:rFonts w:hint="eastAsia" w:ascii="Times New Roman" w:hAnsi="Times New Roman" w:eastAsia="仿宋_GB2312"/>
          <w:sz w:val="32"/>
          <w:szCs w:val="32"/>
        </w:rPr>
        <w:t>健康造成</w:t>
      </w:r>
      <w:r>
        <w:rPr>
          <w:rFonts w:ascii="Times New Roman" w:hAnsi="Times New Roman" w:eastAsia="仿宋_GB2312"/>
          <w:sz w:val="32"/>
          <w:szCs w:val="32"/>
        </w:rPr>
        <w:t>损害，但</w:t>
      </w:r>
      <w:r>
        <w:rPr>
          <w:rFonts w:hint="eastAsia" w:ascii="Times New Roman" w:hAnsi="Times New Roman" w:eastAsia="仿宋_GB2312"/>
          <w:sz w:val="32"/>
          <w:szCs w:val="32"/>
        </w:rPr>
        <w:t>长期</w:t>
      </w:r>
      <w:r>
        <w:rPr>
          <w:rFonts w:ascii="Times New Roman" w:hAnsi="Times New Roman" w:eastAsia="仿宋_GB2312"/>
          <w:sz w:val="32"/>
          <w:szCs w:val="32"/>
        </w:rPr>
        <w:t>食用过氧化值严重超标</w:t>
      </w:r>
      <w:r>
        <w:rPr>
          <w:rFonts w:hint="eastAsia" w:ascii="Times New Roman" w:hAnsi="Times New Roman" w:eastAsia="仿宋_GB2312"/>
          <w:sz w:val="32"/>
          <w:szCs w:val="32"/>
        </w:rPr>
        <w:t>的</w:t>
      </w:r>
      <w:r>
        <w:rPr>
          <w:rFonts w:ascii="Times New Roman" w:hAnsi="Times New Roman" w:eastAsia="仿宋_GB2312"/>
          <w:sz w:val="32"/>
          <w:szCs w:val="32"/>
        </w:rPr>
        <w:t>食品可能导致肠胃不适、腹泻等。《食品安全国家标准 坚果与籽类食品》（GB 19300</w:t>
      </w:r>
      <w:r>
        <w:rPr>
          <w:rFonts w:hint="eastAsia" w:ascii="Times New Roman" w:hAnsi="Times New Roman" w:eastAsia="仿宋_GB2312"/>
          <w:sz w:val="32"/>
          <w:szCs w:val="32"/>
        </w:rPr>
        <w:t>—</w:t>
      </w:r>
      <w:r>
        <w:rPr>
          <w:rFonts w:ascii="Times New Roman" w:hAnsi="Times New Roman" w:eastAsia="仿宋_GB2312"/>
          <w:sz w:val="32"/>
          <w:szCs w:val="32"/>
        </w:rPr>
        <w:t>2014）中规定，坚果与籽类食品熟制葵花籽中过氧化值（以脂肪计）的最大限量值为0.80g/100g。坚果与籽类食品</w:t>
      </w:r>
      <w:r>
        <w:rPr>
          <w:rFonts w:hint="eastAsia" w:ascii="Times New Roman" w:hAnsi="Times New Roman" w:eastAsia="仿宋_GB2312"/>
          <w:sz w:val="32"/>
          <w:szCs w:val="32"/>
        </w:rPr>
        <w:t>中过氧化值（以脂肪计</w:t>
      </w:r>
      <w:r>
        <w:rPr>
          <w:rFonts w:hint="eastAsia" w:eastAsia="仿宋_GB2312"/>
          <w:sz w:val="32"/>
          <w:szCs w:val="32"/>
        </w:rPr>
        <w:t>）</w:t>
      </w:r>
      <w:r>
        <w:rPr>
          <w:rFonts w:hint="eastAsia" w:ascii="Times New Roman" w:hAnsi="Times New Roman" w:eastAsia="仿宋_GB2312"/>
          <w:sz w:val="32"/>
          <w:szCs w:val="32"/>
        </w:rPr>
        <w:t>检测值超标的原因，可能是原料中的脂肪已经被氧化，也可能与产品在储运过程中环境条件控制不当等有关。</w:t>
      </w:r>
    </w:p>
    <w:p>
      <w:pPr>
        <w:autoSpaceDE w:val="0"/>
        <w:spacing w:line="594" w:lineRule="exact"/>
        <w:ind w:firstLine="640" w:firstLineChars="200"/>
        <w:rPr>
          <w:rFonts w:hint="eastAsia" w:ascii="黑体" w:hAnsi="黑体" w:eastAsia="黑体"/>
          <w:spacing w:val="0"/>
          <w:sz w:val="32"/>
          <w:szCs w:val="32"/>
        </w:rPr>
      </w:pPr>
      <w:r>
        <w:rPr>
          <w:rFonts w:hint="eastAsia" w:ascii="黑体" w:hAnsi="黑体" w:eastAsia="黑体"/>
          <w:spacing w:val="0"/>
          <w:sz w:val="32"/>
          <w:szCs w:val="32"/>
          <w:lang w:eastAsia="zh-CN"/>
        </w:rPr>
        <w:t>十九</w:t>
      </w:r>
      <w:r>
        <w:rPr>
          <w:rFonts w:hint="eastAsia" w:ascii="黑体" w:hAnsi="黑体" w:eastAsia="黑体"/>
          <w:spacing w:val="0"/>
          <w:sz w:val="32"/>
          <w:szCs w:val="32"/>
        </w:rPr>
        <w:t>、维生素A</w:t>
      </w:r>
    </w:p>
    <w:p>
      <w:pPr>
        <w:autoSpaceDE w:val="0"/>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维生素A又名视黄醇，是人类必需的脂溶性维生素。</w:t>
      </w:r>
      <w:r>
        <w:rPr>
          <w:rFonts w:hint="eastAsia" w:ascii="Times New Roman" w:hAnsi="Times New Roman" w:eastAsia="仿宋_GB2312"/>
          <w:kern w:val="0"/>
          <w:sz w:val="32"/>
          <w:szCs w:val="32"/>
          <w:lang w:bidi="ar"/>
        </w:rPr>
        <w:t>维生素A</w:t>
      </w:r>
      <w:r>
        <w:rPr>
          <w:rFonts w:ascii="Times New Roman" w:hAnsi="Times New Roman" w:eastAsia="仿宋_GB2312"/>
          <w:kern w:val="0"/>
          <w:sz w:val="32"/>
          <w:szCs w:val="32"/>
          <w:lang w:bidi="ar"/>
        </w:rPr>
        <w:t>具有促进生长发育、维持免疫功能、维持视力、抑制肿瘤等重要的生理功能。《食品安全国家标准 较大婴儿和幼儿配方食品》（GB 10767</w:t>
      </w:r>
      <w:r>
        <w:rPr>
          <w:rFonts w:hint="eastAsia" w:ascii="Times New Roman" w:hAnsi="Times New Roman" w:eastAsia="仿宋_GB2312"/>
          <w:sz w:val="32"/>
          <w:szCs w:val="32"/>
        </w:rPr>
        <w:t>—</w:t>
      </w:r>
      <w:r>
        <w:rPr>
          <w:rFonts w:ascii="Times New Roman" w:hAnsi="Times New Roman" w:eastAsia="仿宋_GB2312"/>
          <w:kern w:val="0"/>
          <w:sz w:val="32"/>
          <w:szCs w:val="32"/>
          <w:lang w:bidi="ar"/>
        </w:rPr>
        <w:t>2010）中规定，维生素A含量应在18-54μgRE/100kJ之间</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且《食品安全国家标准 预包装特殊膳食用食品标签》（GB 13432</w:t>
      </w:r>
      <w:r>
        <w:rPr>
          <w:rFonts w:hint="eastAsia" w:ascii="Times New Roman" w:hAnsi="Times New Roman" w:eastAsia="仿宋_GB2312"/>
          <w:sz w:val="32"/>
          <w:szCs w:val="32"/>
        </w:rPr>
        <w:t>—</w:t>
      </w:r>
      <w:r>
        <w:rPr>
          <w:rFonts w:ascii="Times New Roman" w:hAnsi="Times New Roman" w:eastAsia="仿宋_GB2312"/>
          <w:kern w:val="0"/>
          <w:sz w:val="32"/>
          <w:szCs w:val="32"/>
          <w:lang w:bidi="ar"/>
        </w:rPr>
        <w:t>2013）中规定，营养成分的实际含量不应低于标签明示值的80%。</w:t>
      </w:r>
      <w:r>
        <w:rPr>
          <w:rFonts w:hint="eastAsia" w:ascii="Times New Roman" w:hAnsi="Times New Roman" w:eastAsia="仿宋_GB2312"/>
          <w:kern w:val="0"/>
          <w:sz w:val="32"/>
          <w:szCs w:val="32"/>
          <w:lang w:eastAsia="zh-CN" w:bidi="ar"/>
        </w:rPr>
        <w:t>本批次抽检样品</w:t>
      </w:r>
      <w:r>
        <w:rPr>
          <w:rFonts w:hint="eastAsia" w:eastAsia="仿宋_GB2312"/>
          <w:sz w:val="32"/>
          <w:szCs w:val="32"/>
        </w:rPr>
        <w:t>维生素</w:t>
      </w:r>
      <w:r>
        <w:rPr>
          <w:rFonts w:ascii="Times New Roman" w:hAnsi="Times New Roman" w:eastAsia="仿宋_GB2312" w:cs="Times New Roman"/>
          <w:sz w:val="32"/>
          <w:szCs w:val="32"/>
        </w:rPr>
        <w:t>A</w:t>
      </w:r>
      <w:r>
        <w:rPr>
          <w:rFonts w:hint="eastAsia" w:eastAsia="仿宋_GB2312"/>
          <w:sz w:val="32"/>
          <w:szCs w:val="32"/>
        </w:rPr>
        <w:t>含量既不符合食品安全国家标准规定</w:t>
      </w:r>
      <w:r>
        <w:rPr>
          <w:rFonts w:hint="eastAsia" w:eastAsia="仿宋_GB2312"/>
          <w:sz w:val="32"/>
          <w:szCs w:val="32"/>
          <w:lang w:eastAsia="zh-CN"/>
        </w:rPr>
        <w:t>，</w:t>
      </w:r>
      <w:r>
        <w:rPr>
          <w:rFonts w:hint="eastAsia" w:eastAsia="仿宋_GB2312"/>
          <w:sz w:val="32"/>
          <w:szCs w:val="32"/>
        </w:rPr>
        <w:t>也不符合产品标签</w:t>
      </w:r>
      <w:r>
        <w:rPr>
          <w:rFonts w:hint="eastAsia" w:eastAsia="仿宋_GB2312"/>
          <w:sz w:val="32"/>
          <w:szCs w:val="32"/>
          <w:lang w:eastAsia="zh-CN"/>
        </w:rPr>
        <w:t>标识</w:t>
      </w:r>
      <w:r>
        <w:rPr>
          <w:rFonts w:hint="eastAsia" w:eastAsia="仿宋_GB2312"/>
          <w:sz w:val="32"/>
          <w:szCs w:val="32"/>
        </w:rPr>
        <w:t>要求。</w:t>
      </w:r>
      <w:r>
        <w:rPr>
          <w:rFonts w:hint="eastAsia" w:ascii="Times New Roman" w:hAnsi="Times New Roman" w:eastAsia="仿宋_GB2312"/>
          <w:kern w:val="0"/>
          <w:sz w:val="32"/>
          <w:szCs w:val="32"/>
          <w:lang w:bidi="ar"/>
        </w:rPr>
        <w:t>婴幼儿配方食品中</w:t>
      </w:r>
      <w:r>
        <w:rPr>
          <w:rFonts w:ascii="Times New Roman" w:hAnsi="Times New Roman" w:eastAsia="仿宋_GB2312"/>
          <w:kern w:val="0"/>
          <w:sz w:val="32"/>
          <w:szCs w:val="32"/>
          <w:lang w:bidi="ar"/>
        </w:rPr>
        <w:t>维生素A</w:t>
      </w:r>
      <w:r>
        <w:rPr>
          <w:rFonts w:hint="eastAsia" w:ascii="Times New Roman" w:hAnsi="Times New Roman" w:eastAsia="仿宋_GB2312"/>
          <w:kern w:val="0"/>
          <w:sz w:val="32"/>
          <w:szCs w:val="32"/>
          <w:lang w:bidi="ar"/>
        </w:rPr>
        <w:t>含量</w:t>
      </w:r>
      <w:r>
        <w:rPr>
          <w:rFonts w:ascii="Times New Roman" w:hAnsi="Times New Roman" w:eastAsia="仿宋_GB2312"/>
          <w:kern w:val="0"/>
          <w:sz w:val="32"/>
          <w:szCs w:val="32"/>
          <w:lang w:bidi="ar"/>
        </w:rPr>
        <w:t>不达标的</w:t>
      </w:r>
      <w:r>
        <w:rPr>
          <w:rFonts w:hint="eastAsia" w:ascii="Times New Roman" w:hAnsi="Times New Roman" w:eastAsia="仿宋_GB2312"/>
          <w:kern w:val="0"/>
          <w:sz w:val="32"/>
          <w:szCs w:val="32"/>
          <w:lang w:bidi="ar"/>
        </w:rPr>
        <w:t>原因，可能是</w:t>
      </w:r>
      <w:r>
        <w:rPr>
          <w:rFonts w:ascii="Times New Roman" w:hAnsi="Times New Roman" w:eastAsia="仿宋_GB2312"/>
          <w:kern w:val="0"/>
          <w:sz w:val="32"/>
          <w:szCs w:val="32"/>
          <w:lang w:bidi="ar"/>
        </w:rPr>
        <w:t>由于复合营养素包</w:t>
      </w:r>
      <w:r>
        <w:rPr>
          <w:rFonts w:hint="eastAsia" w:ascii="Times New Roman" w:hAnsi="Times New Roman" w:eastAsia="仿宋_GB2312"/>
          <w:kern w:val="0"/>
          <w:sz w:val="32"/>
          <w:szCs w:val="32"/>
          <w:lang w:bidi="ar"/>
        </w:rPr>
        <w:t>和</w:t>
      </w:r>
      <w:r>
        <w:rPr>
          <w:rFonts w:ascii="Times New Roman" w:hAnsi="Times New Roman" w:eastAsia="仿宋_GB2312"/>
          <w:kern w:val="0"/>
          <w:sz w:val="32"/>
          <w:szCs w:val="32"/>
          <w:lang w:bidi="ar"/>
        </w:rPr>
        <w:t>婴幼儿配方乳粉生产的配方设计和生产工艺安排不合理导致</w:t>
      </w:r>
      <w:r>
        <w:rPr>
          <w:rFonts w:hint="eastAsia" w:ascii="Times New Roman" w:hAnsi="Times New Roman" w:eastAsia="仿宋_GB2312"/>
          <w:kern w:val="0"/>
          <w:sz w:val="32"/>
          <w:szCs w:val="32"/>
          <w:lang w:bidi="ar"/>
        </w:rPr>
        <w:t>；也可能是</w:t>
      </w:r>
      <w:r>
        <w:rPr>
          <w:rFonts w:ascii="Times New Roman" w:hAnsi="Times New Roman" w:eastAsia="仿宋_GB2312"/>
          <w:kern w:val="0"/>
          <w:sz w:val="32"/>
          <w:szCs w:val="32"/>
          <w:lang w:bidi="ar"/>
        </w:rPr>
        <w:t>生产工艺混合工序不到位，导致营养素在产品中分布不均匀等。</w:t>
      </w:r>
    </w:p>
    <w:p>
      <w:pPr>
        <w:autoSpaceDE w:val="0"/>
        <w:spacing w:line="594" w:lineRule="exact"/>
        <w:ind w:firstLine="640" w:firstLineChars="200"/>
        <w:rPr>
          <w:rFonts w:ascii="黑体" w:hAnsi="黑体" w:eastAsia="黑体"/>
          <w:spacing w:val="-12"/>
          <w:sz w:val="32"/>
          <w:szCs w:val="32"/>
        </w:rPr>
      </w:pPr>
      <w:r>
        <w:rPr>
          <w:rFonts w:hint="eastAsia" w:ascii="黑体" w:hAnsi="黑体" w:eastAsia="黑体"/>
          <w:spacing w:val="0"/>
          <w:sz w:val="32"/>
          <w:szCs w:val="32"/>
          <w:lang w:eastAsia="zh-CN"/>
        </w:rPr>
        <w:t>二十、维生素D₃</w:t>
      </w:r>
    </w:p>
    <w:p>
      <w:pPr>
        <w:autoSpaceDE w:val="0"/>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维生素D</w:t>
      </w:r>
      <w:r>
        <w:rPr>
          <w:rFonts w:hint="eastAsia" w:ascii="Times New Roman" w:hAnsi="Times New Roman" w:eastAsia="仿宋_GB2312"/>
          <w:sz w:val="32"/>
          <w:szCs w:val="32"/>
          <w:vertAlign w:val="subscript"/>
        </w:rPr>
        <w:t>3</w:t>
      </w:r>
      <w:r>
        <w:rPr>
          <w:rFonts w:hint="eastAsia" w:ascii="Times New Roman" w:hAnsi="Times New Roman" w:eastAsia="仿宋_GB2312"/>
          <w:sz w:val="32"/>
          <w:szCs w:val="32"/>
        </w:rPr>
        <w:t>是维生素D的一种，是人类必需的脂溶性维生素，长期缺乏维生素D</w:t>
      </w:r>
      <w:r>
        <w:rPr>
          <w:rFonts w:hint="eastAsia" w:ascii="Times New Roman" w:hAnsi="Times New Roman" w:eastAsia="仿宋_GB2312"/>
          <w:sz w:val="32"/>
          <w:szCs w:val="32"/>
          <w:vertAlign w:val="subscript"/>
        </w:rPr>
        <w:t>3</w:t>
      </w:r>
      <w:r>
        <w:rPr>
          <w:rFonts w:hint="eastAsia" w:ascii="Times New Roman" w:hAnsi="Times New Roman" w:eastAsia="仿宋_GB2312"/>
          <w:sz w:val="32"/>
          <w:szCs w:val="32"/>
        </w:rPr>
        <w:t>可引起儿童佝偻病、成人骨质软化症和骨质疏松；长期过量摄入维生素D</w:t>
      </w:r>
      <w:r>
        <w:rPr>
          <w:rFonts w:hint="eastAsia" w:ascii="Times New Roman" w:hAnsi="Times New Roman" w:eastAsia="仿宋_GB2312"/>
          <w:sz w:val="32"/>
          <w:szCs w:val="32"/>
          <w:vertAlign w:val="subscript"/>
        </w:rPr>
        <w:t>3</w:t>
      </w:r>
      <w:r>
        <w:rPr>
          <w:rFonts w:hint="eastAsia" w:ascii="Times New Roman" w:hAnsi="Times New Roman" w:eastAsia="仿宋_GB2312"/>
          <w:sz w:val="32"/>
          <w:szCs w:val="32"/>
        </w:rPr>
        <w:t>补充剂可导致中毒、高钙血症，早期中毒症状有食欲不振、厌食、恶心、烦躁、呕吐、多汗、便秘或腹泻。《康百力钙+D口嚼片（营养素补充剂）》（批准号：卫进食健字（1999）第012号）中规定，维生素D</w:t>
      </w:r>
      <w:r>
        <w:rPr>
          <w:rFonts w:hint="eastAsia" w:ascii="Times New Roman" w:hAnsi="Times New Roman" w:eastAsia="仿宋_GB2312"/>
          <w:sz w:val="32"/>
          <w:szCs w:val="32"/>
          <w:vertAlign w:val="subscript"/>
        </w:rPr>
        <w:t>3</w:t>
      </w:r>
      <w:r>
        <w:rPr>
          <w:rFonts w:hint="eastAsia" w:ascii="Times New Roman" w:hAnsi="Times New Roman" w:eastAsia="仿宋_GB2312"/>
          <w:sz w:val="32"/>
          <w:szCs w:val="32"/>
        </w:rPr>
        <w:t>含量不得低于</w:t>
      </w:r>
      <w:r>
        <w:rPr>
          <w:rFonts w:ascii="Times New Roman" w:hAnsi="Times New Roman" w:eastAsia="仿宋_GB2312"/>
          <w:sz w:val="32"/>
          <w:szCs w:val="32"/>
        </w:rPr>
        <w:t>2.7μg/g</w:t>
      </w:r>
      <w:r>
        <w:rPr>
          <w:rFonts w:hint="eastAsia" w:ascii="Times New Roman" w:hAnsi="Times New Roman" w:eastAsia="仿宋_GB2312"/>
          <w:sz w:val="32"/>
          <w:szCs w:val="32"/>
        </w:rPr>
        <w:t>。保健食品中维生素D</w:t>
      </w:r>
      <w:r>
        <w:rPr>
          <w:rFonts w:hint="eastAsia" w:ascii="Times New Roman" w:hAnsi="Times New Roman" w:eastAsia="仿宋_GB2312"/>
          <w:sz w:val="32"/>
          <w:szCs w:val="32"/>
          <w:vertAlign w:val="subscript"/>
        </w:rPr>
        <w:t>3</w:t>
      </w:r>
      <w:r>
        <w:rPr>
          <w:rFonts w:hint="eastAsia" w:ascii="Times New Roman" w:hAnsi="Times New Roman" w:eastAsia="仿宋_GB2312"/>
          <w:sz w:val="32"/>
          <w:szCs w:val="32"/>
        </w:rPr>
        <w:t>含量不达标的原因，可能是生产企业对原辅料质量控制不严格，也可能是生产企业未按照配方标准生产。</w:t>
      </w:r>
    </w:p>
    <w:p>
      <w:pPr>
        <w:numPr>
          <w:ilvl w:val="255"/>
          <w:numId w:val="0"/>
        </w:numPr>
        <w:autoSpaceDE w:val="0"/>
        <w:spacing w:line="594" w:lineRule="exact"/>
        <w:ind w:firstLine="640" w:firstLineChars="200"/>
        <w:jc w:val="left"/>
        <w:rPr>
          <w:rFonts w:ascii="Times New Roman" w:hAnsi="Times New Roman" w:eastAsia="仿宋_GB2312"/>
          <w:sz w:val="32"/>
          <w:szCs w:val="32"/>
        </w:rPr>
      </w:pPr>
    </w:p>
    <w:p>
      <w:pPr>
        <w:autoSpaceDE w:val="0"/>
        <w:spacing w:line="594" w:lineRule="exact"/>
        <w:jc w:val="left"/>
        <w:rPr>
          <w:rFonts w:eastAsia="仿宋_GB2312"/>
          <w:kern w:val="0"/>
          <w:sz w:val="32"/>
          <w:szCs w:val="32"/>
          <w:highlight w:val="red"/>
        </w:rPr>
      </w:pP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C84FEB-5D22-4D83-91F6-3220C46714B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A8D27B7-793D-42CC-A8CC-B07CF15B6C74}"/>
  </w:font>
  <w:font w:name="方正小标宋简体">
    <w:panose1 w:val="03000509000000000000"/>
    <w:charset w:val="86"/>
    <w:family w:val="script"/>
    <w:pitch w:val="default"/>
    <w:sig w:usb0="00000001" w:usb1="080E0000" w:usb2="00000000" w:usb3="00000000" w:csb0="00040000" w:csb1="00000000"/>
    <w:embedRegular r:id="rId3" w:fontKey="{72FDD274-5D2C-48C6-8E86-800C4842FE9E}"/>
  </w:font>
  <w:font w:name="仿宋_GB2312">
    <w:panose1 w:val="02010609030101010101"/>
    <w:charset w:val="86"/>
    <w:family w:val="modern"/>
    <w:pitch w:val="default"/>
    <w:sig w:usb0="00000001" w:usb1="080E0000" w:usb2="00000000" w:usb3="00000000" w:csb0="00040000" w:csb1="00000000"/>
    <w:embedRegular r:id="rId4" w:fontKey="{4365EA65-D209-4A67-8B64-459DB7177E30}"/>
  </w:font>
  <w:font w:name="Gulim">
    <w:panose1 w:val="020B0600000101010101"/>
    <w:charset w:val="81"/>
    <w:family w:val="auto"/>
    <w:pitch w:val="default"/>
    <w:sig w:usb0="B00002AF" w:usb1="69D77CFB" w:usb2="00000030" w:usb3="00000000" w:csb0="4008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0827681"/>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TrueTypeFonts/>
  <w:saveSubsetFonts/>
  <w:bordersDoNotSurroundHeader w:val="1"/>
  <w:bordersDoNotSurroundFooter w:val="1"/>
  <w:attachedTemplate r:id="rId1"/>
  <w:revisionView w:markup="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85137"/>
    <w:rsid w:val="000119D5"/>
    <w:rsid w:val="00013131"/>
    <w:rsid w:val="0001675E"/>
    <w:rsid w:val="000276F3"/>
    <w:rsid w:val="00045657"/>
    <w:rsid w:val="000865F0"/>
    <w:rsid w:val="000868BD"/>
    <w:rsid w:val="0009071C"/>
    <w:rsid w:val="000B4DCF"/>
    <w:rsid w:val="000D132D"/>
    <w:rsid w:val="0010777E"/>
    <w:rsid w:val="00113C75"/>
    <w:rsid w:val="00142BDE"/>
    <w:rsid w:val="00143A72"/>
    <w:rsid w:val="0015345E"/>
    <w:rsid w:val="00187621"/>
    <w:rsid w:val="001A4582"/>
    <w:rsid w:val="00215831"/>
    <w:rsid w:val="00217ABC"/>
    <w:rsid w:val="00234ABA"/>
    <w:rsid w:val="00246464"/>
    <w:rsid w:val="00256527"/>
    <w:rsid w:val="00257728"/>
    <w:rsid w:val="00263FF9"/>
    <w:rsid w:val="002743AC"/>
    <w:rsid w:val="00277B20"/>
    <w:rsid w:val="0029033E"/>
    <w:rsid w:val="002A236C"/>
    <w:rsid w:val="002C0DD0"/>
    <w:rsid w:val="00301086"/>
    <w:rsid w:val="00301116"/>
    <w:rsid w:val="00307C65"/>
    <w:rsid w:val="003213BD"/>
    <w:rsid w:val="00321CDC"/>
    <w:rsid w:val="00323CA5"/>
    <w:rsid w:val="00326DF3"/>
    <w:rsid w:val="00360E93"/>
    <w:rsid w:val="00362657"/>
    <w:rsid w:val="003667E2"/>
    <w:rsid w:val="00366A48"/>
    <w:rsid w:val="00370A93"/>
    <w:rsid w:val="003863E8"/>
    <w:rsid w:val="003B6975"/>
    <w:rsid w:val="003B6CD4"/>
    <w:rsid w:val="003E0B8E"/>
    <w:rsid w:val="003E6E1B"/>
    <w:rsid w:val="00407D86"/>
    <w:rsid w:val="00425E6A"/>
    <w:rsid w:val="00430F5B"/>
    <w:rsid w:val="00447299"/>
    <w:rsid w:val="00457F63"/>
    <w:rsid w:val="0046024A"/>
    <w:rsid w:val="00467236"/>
    <w:rsid w:val="004740F8"/>
    <w:rsid w:val="004B5AC9"/>
    <w:rsid w:val="004C48B9"/>
    <w:rsid w:val="004D036B"/>
    <w:rsid w:val="004D0CC7"/>
    <w:rsid w:val="004D43FF"/>
    <w:rsid w:val="004E1734"/>
    <w:rsid w:val="004F4A86"/>
    <w:rsid w:val="00500BF9"/>
    <w:rsid w:val="005018C5"/>
    <w:rsid w:val="00503DE6"/>
    <w:rsid w:val="00506671"/>
    <w:rsid w:val="00514B88"/>
    <w:rsid w:val="005173C3"/>
    <w:rsid w:val="0052066A"/>
    <w:rsid w:val="005216E2"/>
    <w:rsid w:val="00521819"/>
    <w:rsid w:val="005341A4"/>
    <w:rsid w:val="00557165"/>
    <w:rsid w:val="00565D70"/>
    <w:rsid w:val="00576235"/>
    <w:rsid w:val="0057719D"/>
    <w:rsid w:val="005A6A35"/>
    <w:rsid w:val="005A758A"/>
    <w:rsid w:val="005A76B7"/>
    <w:rsid w:val="005C0139"/>
    <w:rsid w:val="005C3955"/>
    <w:rsid w:val="005D3FA0"/>
    <w:rsid w:val="005E14C1"/>
    <w:rsid w:val="005E7727"/>
    <w:rsid w:val="00603050"/>
    <w:rsid w:val="00643647"/>
    <w:rsid w:val="00647120"/>
    <w:rsid w:val="00655158"/>
    <w:rsid w:val="006859CF"/>
    <w:rsid w:val="006966C0"/>
    <w:rsid w:val="006C2A77"/>
    <w:rsid w:val="006C69E7"/>
    <w:rsid w:val="006C6D08"/>
    <w:rsid w:val="006E0279"/>
    <w:rsid w:val="006E25C7"/>
    <w:rsid w:val="006E3529"/>
    <w:rsid w:val="00705DDD"/>
    <w:rsid w:val="007114C3"/>
    <w:rsid w:val="00716E8E"/>
    <w:rsid w:val="00724357"/>
    <w:rsid w:val="007316ED"/>
    <w:rsid w:val="00741E8B"/>
    <w:rsid w:val="00742D85"/>
    <w:rsid w:val="007522CB"/>
    <w:rsid w:val="0076297A"/>
    <w:rsid w:val="00770396"/>
    <w:rsid w:val="00773350"/>
    <w:rsid w:val="00780627"/>
    <w:rsid w:val="00794576"/>
    <w:rsid w:val="007A642B"/>
    <w:rsid w:val="007C55DC"/>
    <w:rsid w:val="00800E6D"/>
    <w:rsid w:val="0080410A"/>
    <w:rsid w:val="00821EE7"/>
    <w:rsid w:val="00845504"/>
    <w:rsid w:val="00846448"/>
    <w:rsid w:val="0086099A"/>
    <w:rsid w:val="0086320C"/>
    <w:rsid w:val="008901C0"/>
    <w:rsid w:val="00897065"/>
    <w:rsid w:val="008A48FA"/>
    <w:rsid w:val="008A5021"/>
    <w:rsid w:val="008B15D7"/>
    <w:rsid w:val="008B1E52"/>
    <w:rsid w:val="008C1364"/>
    <w:rsid w:val="008E1D3F"/>
    <w:rsid w:val="008E32F5"/>
    <w:rsid w:val="008E5099"/>
    <w:rsid w:val="008E55EB"/>
    <w:rsid w:val="008F021C"/>
    <w:rsid w:val="00900777"/>
    <w:rsid w:val="00905B8C"/>
    <w:rsid w:val="00912BB6"/>
    <w:rsid w:val="00920C7D"/>
    <w:rsid w:val="0093073B"/>
    <w:rsid w:val="00936B0D"/>
    <w:rsid w:val="00937B58"/>
    <w:rsid w:val="00940C37"/>
    <w:rsid w:val="00953C97"/>
    <w:rsid w:val="00960313"/>
    <w:rsid w:val="00970BC3"/>
    <w:rsid w:val="00974858"/>
    <w:rsid w:val="009B4783"/>
    <w:rsid w:val="009C5758"/>
    <w:rsid w:val="009D7EE3"/>
    <w:rsid w:val="009E318E"/>
    <w:rsid w:val="00A010B9"/>
    <w:rsid w:val="00A0353B"/>
    <w:rsid w:val="00A161D0"/>
    <w:rsid w:val="00A22D01"/>
    <w:rsid w:val="00A30A9E"/>
    <w:rsid w:val="00A44697"/>
    <w:rsid w:val="00A636E2"/>
    <w:rsid w:val="00A8267D"/>
    <w:rsid w:val="00A9060C"/>
    <w:rsid w:val="00A93A64"/>
    <w:rsid w:val="00AA1D13"/>
    <w:rsid w:val="00AB67AC"/>
    <w:rsid w:val="00AC1A0F"/>
    <w:rsid w:val="00AC3F08"/>
    <w:rsid w:val="00AC4E9F"/>
    <w:rsid w:val="00AD12C6"/>
    <w:rsid w:val="00AD2448"/>
    <w:rsid w:val="00AD27DE"/>
    <w:rsid w:val="00AD3EE2"/>
    <w:rsid w:val="00AD581A"/>
    <w:rsid w:val="00AD74BD"/>
    <w:rsid w:val="00AE159F"/>
    <w:rsid w:val="00AE2315"/>
    <w:rsid w:val="00AE714E"/>
    <w:rsid w:val="00AF13B3"/>
    <w:rsid w:val="00B11ADD"/>
    <w:rsid w:val="00B120F7"/>
    <w:rsid w:val="00B253D1"/>
    <w:rsid w:val="00B362BA"/>
    <w:rsid w:val="00B46849"/>
    <w:rsid w:val="00B46BD1"/>
    <w:rsid w:val="00B72998"/>
    <w:rsid w:val="00B84C80"/>
    <w:rsid w:val="00B86D48"/>
    <w:rsid w:val="00BA3087"/>
    <w:rsid w:val="00BA3536"/>
    <w:rsid w:val="00BB0DB0"/>
    <w:rsid w:val="00BC774B"/>
    <w:rsid w:val="00BD226E"/>
    <w:rsid w:val="00BE2953"/>
    <w:rsid w:val="00BE2FC4"/>
    <w:rsid w:val="00BF347C"/>
    <w:rsid w:val="00C014BF"/>
    <w:rsid w:val="00C05113"/>
    <w:rsid w:val="00C10C4F"/>
    <w:rsid w:val="00C34DC8"/>
    <w:rsid w:val="00C36040"/>
    <w:rsid w:val="00C65F31"/>
    <w:rsid w:val="00C86322"/>
    <w:rsid w:val="00C9799C"/>
    <w:rsid w:val="00CA06A5"/>
    <w:rsid w:val="00CA268A"/>
    <w:rsid w:val="00CB78B8"/>
    <w:rsid w:val="00CD2A83"/>
    <w:rsid w:val="00CE2C80"/>
    <w:rsid w:val="00CE7D8E"/>
    <w:rsid w:val="00D10F03"/>
    <w:rsid w:val="00D501B0"/>
    <w:rsid w:val="00D5279F"/>
    <w:rsid w:val="00D53F4C"/>
    <w:rsid w:val="00D5477A"/>
    <w:rsid w:val="00D737F2"/>
    <w:rsid w:val="00D83AA0"/>
    <w:rsid w:val="00D87B22"/>
    <w:rsid w:val="00D90BFE"/>
    <w:rsid w:val="00D93034"/>
    <w:rsid w:val="00DA0BCC"/>
    <w:rsid w:val="00DB0E94"/>
    <w:rsid w:val="00DB28D3"/>
    <w:rsid w:val="00DD3B20"/>
    <w:rsid w:val="00DD476E"/>
    <w:rsid w:val="00DD733F"/>
    <w:rsid w:val="00E00F1F"/>
    <w:rsid w:val="00E1609A"/>
    <w:rsid w:val="00E21F73"/>
    <w:rsid w:val="00E37B65"/>
    <w:rsid w:val="00E43414"/>
    <w:rsid w:val="00E477FC"/>
    <w:rsid w:val="00E51E77"/>
    <w:rsid w:val="00E5774B"/>
    <w:rsid w:val="00E75193"/>
    <w:rsid w:val="00E8121D"/>
    <w:rsid w:val="00E82C94"/>
    <w:rsid w:val="00E83B40"/>
    <w:rsid w:val="00EA40D3"/>
    <w:rsid w:val="00EA6C22"/>
    <w:rsid w:val="00EA77E3"/>
    <w:rsid w:val="00EC1198"/>
    <w:rsid w:val="00ED0DA7"/>
    <w:rsid w:val="00ED21A0"/>
    <w:rsid w:val="00ED4AE9"/>
    <w:rsid w:val="00ED55E6"/>
    <w:rsid w:val="00EF5292"/>
    <w:rsid w:val="00EF6B02"/>
    <w:rsid w:val="00F05932"/>
    <w:rsid w:val="00F075AE"/>
    <w:rsid w:val="00F1347C"/>
    <w:rsid w:val="00F175B8"/>
    <w:rsid w:val="00F71B8E"/>
    <w:rsid w:val="00F80202"/>
    <w:rsid w:val="00F97F8C"/>
    <w:rsid w:val="00FA490E"/>
    <w:rsid w:val="02E57613"/>
    <w:rsid w:val="04870BE9"/>
    <w:rsid w:val="065E0885"/>
    <w:rsid w:val="0B6213FD"/>
    <w:rsid w:val="0F572839"/>
    <w:rsid w:val="15B85137"/>
    <w:rsid w:val="16041BA6"/>
    <w:rsid w:val="16407028"/>
    <w:rsid w:val="1860243B"/>
    <w:rsid w:val="21DF0EED"/>
    <w:rsid w:val="22FA4096"/>
    <w:rsid w:val="23096522"/>
    <w:rsid w:val="25782463"/>
    <w:rsid w:val="28810481"/>
    <w:rsid w:val="2DE7759F"/>
    <w:rsid w:val="361B61C7"/>
    <w:rsid w:val="392E6D60"/>
    <w:rsid w:val="39731291"/>
    <w:rsid w:val="3A4F2107"/>
    <w:rsid w:val="3ECA4CD4"/>
    <w:rsid w:val="479E0D55"/>
    <w:rsid w:val="4AFE195C"/>
    <w:rsid w:val="4B5562A0"/>
    <w:rsid w:val="4BC323F1"/>
    <w:rsid w:val="523A234B"/>
    <w:rsid w:val="532E3A5B"/>
    <w:rsid w:val="55EA4795"/>
    <w:rsid w:val="5B0203A0"/>
    <w:rsid w:val="5F8A253D"/>
    <w:rsid w:val="60FD15F7"/>
    <w:rsid w:val="63A91B62"/>
    <w:rsid w:val="63E73DBD"/>
    <w:rsid w:val="65AE117E"/>
    <w:rsid w:val="67862D12"/>
    <w:rsid w:val="67D050EB"/>
    <w:rsid w:val="681D3D4F"/>
    <w:rsid w:val="683C0DBD"/>
    <w:rsid w:val="6A7A5576"/>
    <w:rsid w:val="6B6002D0"/>
    <w:rsid w:val="6D535020"/>
    <w:rsid w:val="6E0005AE"/>
    <w:rsid w:val="6ED3511D"/>
    <w:rsid w:val="73994794"/>
    <w:rsid w:val="74A44FDB"/>
    <w:rsid w:val="75856B41"/>
    <w:rsid w:val="7CCD4AFB"/>
    <w:rsid w:val="7D24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asciiTheme="minorHAnsi" w:hAnsiTheme="minorHAnsi" w:eastAsiaTheme="minorEastAsia"/>
      <w:kern w:val="0"/>
      <w:sz w:val="24"/>
      <w:szCs w:val="22"/>
    </w:rPr>
  </w:style>
  <w:style w:type="paragraph" w:customStyle="1" w:styleId="8">
    <w:name w:val="列出段落2"/>
    <w:basedOn w:val="1"/>
    <w:qFormat/>
    <w:uiPriority w:val="34"/>
    <w:pPr>
      <w:ind w:firstLine="420" w:firstLineChars="200"/>
    </w:pPr>
  </w:style>
  <w:style w:type="character" w:customStyle="1" w:styleId="9">
    <w:name w:val="批注框文本 字符"/>
    <w:basedOn w:val="6"/>
    <w:link w:val="2"/>
    <w:qFormat/>
    <w:uiPriority w:val="0"/>
    <w:rPr>
      <w:rFonts w:ascii="Calibri" w:hAnsi="Calibri" w:eastAsia="宋体" w:cs="Times New Roman"/>
      <w:kern w:val="2"/>
      <w:sz w:val="18"/>
      <w:szCs w:val="18"/>
    </w:rPr>
  </w:style>
  <w:style w:type="paragraph" w:styleId="10">
    <w:name w:val="List Paragraph"/>
    <w:basedOn w:val="1"/>
    <w:qFormat/>
    <w:uiPriority w:val="99"/>
    <w:pPr>
      <w:ind w:firstLine="420" w:firstLineChars="200"/>
    </w:pPr>
    <w:rPr>
      <w:szCs w:val="22"/>
    </w:rPr>
  </w:style>
  <w:style w:type="character" w:customStyle="1" w:styleId="11">
    <w:name w:val="页眉 字符"/>
    <w:basedOn w:val="6"/>
    <w:link w:val="4"/>
    <w:qFormat/>
    <w:uiPriority w:val="0"/>
    <w:rPr>
      <w:rFonts w:ascii="Calibri" w:hAnsi="Calibri" w:eastAsia="宋体" w:cs="Times New Roman"/>
      <w:kern w:val="2"/>
      <w:sz w:val="18"/>
      <w:szCs w:val="18"/>
    </w:rPr>
  </w:style>
  <w:style w:type="character" w:customStyle="1" w:styleId="12">
    <w:name w:val="页脚 字符"/>
    <w:basedOn w:val="6"/>
    <w:link w:val="3"/>
    <w:qFormat/>
    <w:uiPriority w:val="99"/>
    <w:rPr>
      <w:rFonts w:ascii="Calibri" w:hAnsi="Calibri" w:eastAsia="宋体" w:cs="Times New Roman"/>
      <w:kern w:val="2"/>
      <w:sz w:val="18"/>
      <w:szCs w:val="18"/>
    </w:rPr>
  </w:style>
  <w:style w:type="paragraph" w:customStyle="1" w:styleId="13">
    <w:name w:val="列出段落1"/>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11</Pages>
  <Words>865</Words>
  <Characters>4931</Characters>
  <Lines>41</Lines>
  <Paragraphs>11</Paragraphs>
  <TotalTime>83</TotalTime>
  <ScaleCrop>false</ScaleCrop>
  <LinksUpToDate>false</LinksUpToDate>
  <CharactersWithSpaces>5785</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2018-10-19T06:08:00Z</dcterms:created>
  <dc:creator>Anonymous</dc:creator>
  <cp:lastModifiedBy>彭小婷</cp:lastModifiedBy>
  <cp:lastPrinted>2021-05-12T11:25:00Z</cp:lastPrinted>
  <dcterms:modified xsi:type="dcterms:W3CDTF">2021-05-25T09:20:00Z</dcterms:modified>
  <dc:title>附件1</dc:title>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