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黑体" w:hAnsi="黑体" w:eastAsia="黑体" w:cs="Times New Roman"/>
          <w:color w:val="000000" w:themeColor="text1"/>
          <w:sz w:val="32"/>
          <w:szCs w:val="32"/>
          <w14:textFill>
            <w14:solidFill>
              <w14:schemeClr w14:val="tx1"/>
            </w14:solidFill>
          </w14:textFill>
        </w:rPr>
      </w:pPr>
      <w:bookmarkStart w:id="0" w:name="_GoBack"/>
      <w:bookmarkEnd w:id="0"/>
      <w:r>
        <w:rPr>
          <w:rFonts w:ascii="黑体" w:hAnsi="黑体" w:eastAsia="黑体" w:cs="Times New Roman"/>
          <w:color w:val="000000" w:themeColor="text1"/>
          <w:sz w:val="32"/>
          <w:szCs w:val="32"/>
          <w14:textFill>
            <w14:solidFill>
              <w14:schemeClr w14:val="tx1"/>
            </w14:solidFill>
          </w14:textFill>
        </w:rPr>
        <w:t>附件1</w:t>
      </w:r>
    </w:p>
    <w:p>
      <w:pPr>
        <w:spacing w:line="594" w:lineRule="exact"/>
        <w:jc w:val="center"/>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z w:val="44"/>
          <w:szCs w:val="44"/>
          <w14:textFill>
            <w14:solidFill>
              <w14:schemeClr w14:val="tx1"/>
            </w14:solidFill>
          </w14:textFill>
        </w:rPr>
        <w:t>部分不合格检验项目小知识</w:t>
      </w:r>
    </w:p>
    <w:p>
      <w:pPr>
        <w:spacing w:line="594" w:lineRule="exact"/>
        <w:ind w:firstLine="640" w:firstLineChars="200"/>
        <w:jc w:val="center"/>
        <w:rPr>
          <w:rFonts w:ascii="Times New Roman" w:hAnsi="Times New Roman" w:eastAsia="仿宋_GB2312" w:cs="Times New Roman"/>
          <w:color w:val="000000" w:themeColor="text1"/>
          <w:sz w:val="32"/>
          <w:szCs w:val="32"/>
          <w14:textFill>
            <w14:solidFill>
              <w14:schemeClr w14:val="tx1"/>
            </w14:solidFill>
          </w14:textFill>
        </w:rPr>
      </w:pP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w:t>
      </w:r>
      <w:r>
        <w:rPr>
          <w:rFonts w:ascii="黑体" w:hAnsi="黑体" w:eastAsia="黑体" w:cs="Times New Roman"/>
          <w:color w:val="000000" w:themeColor="text1"/>
          <w:sz w:val="32"/>
          <w:szCs w:val="32"/>
          <w14:textFill>
            <w14:solidFill>
              <w14:schemeClr w14:val="tx1"/>
            </w14:solidFill>
          </w14:textFill>
        </w:rPr>
        <w:t>、菌落总数</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ascii="Times New Roman" w:hAnsi="Times New Roman" w:eastAsia="仿宋_GB2312"/>
          <w:sz w:val="32"/>
          <w:szCs w:val="32"/>
        </w:rPr>
        <w:t>《食品安全国家标准 蜜饯》</w:t>
      </w:r>
      <w:r>
        <w:rPr>
          <w:rFonts w:hint="eastAsia" w:ascii="Times New Roman" w:hAnsi="Times New Roman" w:eastAsia="仿宋_GB2312"/>
          <w:sz w:val="32"/>
          <w:szCs w:val="32"/>
        </w:rPr>
        <w:t>（</w:t>
      </w:r>
      <w:r>
        <w:rPr>
          <w:rFonts w:ascii="Times New Roman" w:hAnsi="Times New Roman" w:eastAsia="仿宋_GB2312"/>
          <w:sz w:val="32"/>
          <w:szCs w:val="32"/>
        </w:rPr>
        <w:t>GB 14884</w:t>
      </w:r>
      <w:r>
        <w:rPr>
          <w:rFonts w:hint="eastAsia" w:eastAsia="仿宋_GB2312"/>
          <w:kern w:val="0"/>
          <w:sz w:val="32"/>
          <w:szCs w:val="32"/>
        </w:rPr>
        <w:t>—</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中规定，蜜饯</w:t>
      </w:r>
      <w:r>
        <w:rPr>
          <w:rFonts w:hint="eastAsia" w:ascii="Times New Roman" w:hAnsi="Times New Roman" w:eastAsia="仿宋_GB2312"/>
          <w:sz w:val="32"/>
          <w:szCs w:val="32"/>
        </w:rPr>
        <w:t>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均不得超过10</w:t>
      </w:r>
      <w:r>
        <w:rPr>
          <w:rFonts w:ascii="Times New Roman" w:hAnsi="Times New Roman" w:eastAsia="仿宋_GB2312"/>
          <w:sz w:val="32"/>
          <w:szCs w:val="32"/>
          <w:vertAlign w:val="superscript"/>
        </w:rPr>
        <w:t>4</w:t>
      </w:r>
      <w:r>
        <w:rPr>
          <w:rFonts w:ascii="Times New Roman" w:hAnsi="Times New Roman" w:eastAsia="仿宋_GB2312"/>
          <w:sz w:val="32"/>
          <w:szCs w:val="32"/>
        </w:rPr>
        <w:t>CFU/g，且最多允许</w:t>
      </w:r>
      <w:r>
        <w:rPr>
          <w:rFonts w:hint="eastAsia" w:ascii="Times New Roman" w:hAnsi="Times New Roman" w:eastAsia="仿宋_GB2312"/>
          <w:sz w:val="32"/>
          <w:szCs w:val="32"/>
        </w:rPr>
        <w:t>2个样品的</w:t>
      </w:r>
      <w:r>
        <w:rPr>
          <w:rFonts w:ascii="Times New Roman" w:hAnsi="Times New Roman" w:eastAsia="仿宋_GB2312"/>
          <w:color w:val="000000" w:themeColor="text1"/>
          <w:sz w:val="32"/>
          <w:szCs w:val="32"/>
          <w14:textFill>
            <w14:solidFill>
              <w14:schemeClr w14:val="tx1"/>
            </w14:solidFill>
          </w14:textFill>
        </w:rPr>
        <w:t>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3</w:t>
      </w:r>
      <w:r>
        <w:rPr>
          <w:rFonts w:ascii="Times New Roman" w:hAnsi="Times New Roman" w:eastAsia="仿宋_GB2312"/>
          <w:sz w:val="32"/>
          <w:szCs w:val="32"/>
        </w:rPr>
        <w:t>CFU/g。《</w:t>
      </w:r>
      <w:r>
        <w:rPr>
          <w:rFonts w:hint="eastAsia" w:ascii="Times New Roman" w:hAnsi="Times New Roman" w:eastAsia="仿宋_GB2312"/>
          <w:sz w:val="32"/>
          <w:szCs w:val="32"/>
        </w:rPr>
        <w:t>食品安全国家标准 酱油</w:t>
      </w:r>
      <w:r>
        <w:rPr>
          <w:rFonts w:ascii="Times New Roman" w:hAnsi="Times New Roman" w:eastAsia="仿宋_GB2312"/>
          <w:sz w:val="32"/>
          <w:szCs w:val="32"/>
        </w:rPr>
        <w:t>》（GB 271</w:t>
      </w:r>
      <w:r>
        <w:rPr>
          <w:rFonts w:hint="eastAsia" w:ascii="Times New Roman" w:hAnsi="Times New Roman" w:eastAsia="仿宋_GB2312"/>
          <w:sz w:val="32"/>
          <w:szCs w:val="32"/>
        </w:rPr>
        <w:t>7</w:t>
      </w:r>
      <w:r>
        <w:rPr>
          <w:rFonts w:hint="eastAsia" w:ascii="仿宋_GB2312" w:hAnsi="Times New Roman" w:eastAsia="仿宋_GB2312"/>
          <w:sz w:val="32"/>
          <w:szCs w:val="32"/>
        </w:rPr>
        <w:t>—</w:t>
      </w:r>
      <w:r>
        <w:rPr>
          <w:rFonts w:ascii="Times New Roman" w:hAnsi="Times New Roman" w:eastAsia="仿宋_GB2312"/>
          <w:sz w:val="32"/>
          <w:szCs w:val="32"/>
        </w:rPr>
        <w:t>2018）中规定，</w:t>
      </w:r>
      <w:r>
        <w:rPr>
          <w:rFonts w:hint="eastAsia" w:ascii="Times New Roman" w:hAnsi="Times New Roman" w:eastAsia="仿宋_GB2312"/>
          <w:sz w:val="32"/>
          <w:szCs w:val="32"/>
        </w:rPr>
        <w:t>酱油中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均不得超过5×10</w:t>
      </w:r>
      <w:r>
        <w:rPr>
          <w:rFonts w:ascii="Times New Roman" w:hAnsi="Times New Roman" w:eastAsia="仿宋_GB2312"/>
          <w:sz w:val="32"/>
          <w:szCs w:val="32"/>
          <w:vertAlign w:val="superscript"/>
        </w:rPr>
        <w:t>4</w:t>
      </w:r>
      <w:r>
        <w:rPr>
          <w:rFonts w:ascii="Times New Roman" w:hAnsi="Times New Roman" w:eastAsia="仿宋_GB2312"/>
          <w:sz w:val="32"/>
          <w:szCs w:val="32"/>
        </w:rPr>
        <w:t>CFU/mL，且最多允许</w:t>
      </w:r>
      <w:r>
        <w:rPr>
          <w:rFonts w:hint="eastAsia" w:ascii="Times New Roman" w:hAnsi="Times New Roman" w:eastAsia="仿宋_GB2312"/>
          <w:sz w:val="32"/>
          <w:szCs w:val="32"/>
        </w:rPr>
        <w:t>2个样品的</w:t>
      </w:r>
      <w:r>
        <w:rPr>
          <w:rFonts w:ascii="Times New Roman" w:hAnsi="Times New Roman" w:eastAsia="仿宋_GB2312"/>
          <w:color w:val="000000" w:themeColor="text1"/>
          <w:sz w:val="32"/>
          <w:szCs w:val="32"/>
          <w14:textFill>
            <w14:solidFill>
              <w14:schemeClr w14:val="tx1"/>
            </w14:solidFill>
          </w14:textFill>
        </w:rPr>
        <w:t>检测结果超过</w:t>
      </w:r>
      <w:r>
        <w:rPr>
          <w:rFonts w:ascii="Times New Roman" w:hAnsi="Times New Roman" w:eastAsia="仿宋_GB2312"/>
          <w:sz w:val="32"/>
          <w:szCs w:val="32"/>
        </w:rPr>
        <w:t>5×10</w:t>
      </w:r>
      <w:r>
        <w:rPr>
          <w:rFonts w:ascii="Times New Roman" w:hAnsi="Times New Roman" w:eastAsia="仿宋_GB2312"/>
          <w:sz w:val="32"/>
          <w:szCs w:val="32"/>
          <w:vertAlign w:val="superscript"/>
        </w:rPr>
        <w:t>3</w:t>
      </w:r>
      <w:r>
        <w:rPr>
          <w:rFonts w:ascii="Times New Roman" w:hAnsi="Times New Roman" w:eastAsia="仿宋_GB2312"/>
          <w:sz w:val="32"/>
          <w:szCs w:val="32"/>
        </w:rPr>
        <w:t>CFU/mL。</w:t>
      </w:r>
      <w:r>
        <w:rPr>
          <w:rFonts w:eastAsia="仿宋_GB2312"/>
          <w:sz w:val="32"/>
          <w:szCs w:val="32"/>
        </w:rPr>
        <w:t xml:space="preserve">《食品安全国家标准 </w:t>
      </w:r>
      <w:r>
        <w:rPr>
          <w:rFonts w:hint="eastAsia" w:eastAsia="仿宋_GB2312"/>
          <w:sz w:val="32"/>
          <w:szCs w:val="32"/>
        </w:rPr>
        <w:t>食用</w:t>
      </w:r>
      <w:r>
        <w:rPr>
          <w:rFonts w:eastAsia="仿宋_GB2312"/>
          <w:sz w:val="32"/>
          <w:szCs w:val="32"/>
        </w:rPr>
        <w:t>淀粉》（</w:t>
      </w:r>
      <w:r>
        <w:rPr>
          <w:rFonts w:ascii="Times New Roman" w:hAnsi="Times New Roman" w:eastAsia="仿宋_GB2312"/>
          <w:sz w:val="32"/>
          <w:szCs w:val="32"/>
        </w:rPr>
        <w:t>GB 31637</w:t>
      </w:r>
      <w:r>
        <w:rPr>
          <w:rFonts w:hint="eastAsia" w:ascii="仿宋_GB2312" w:hAnsi="Times New Roman" w:eastAsia="仿宋_GB2312"/>
          <w:sz w:val="32"/>
          <w:szCs w:val="32"/>
        </w:rPr>
        <w:t>—</w:t>
      </w:r>
      <w:r>
        <w:rPr>
          <w:rFonts w:ascii="Times New Roman" w:hAnsi="Times New Roman" w:eastAsia="仿宋_GB2312"/>
          <w:sz w:val="32"/>
          <w:szCs w:val="32"/>
        </w:rPr>
        <w:t>2016</w:t>
      </w:r>
      <w:r>
        <w:rPr>
          <w:rFonts w:eastAsia="仿宋_GB2312"/>
          <w:sz w:val="32"/>
          <w:szCs w:val="32"/>
        </w:rPr>
        <w:t>）中规定，食用淀粉</w:t>
      </w:r>
      <w:r>
        <w:rPr>
          <w:rFonts w:hint="eastAsia" w:eastAsia="仿宋_GB2312"/>
          <w:sz w:val="32"/>
          <w:szCs w:val="32"/>
        </w:rPr>
        <w:t>中同一批次产品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eastAsia="仿宋_GB2312"/>
          <w:sz w:val="32"/>
          <w:szCs w:val="32"/>
        </w:rPr>
        <w:t>，</w:t>
      </w:r>
      <w:r>
        <w:rPr>
          <w:rFonts w:hint="eastAsia" w:ascii="Times New Roman" w:hAnsi="Times New Roman" w:eastAsia="仿宋_GB2312"/>
          <w:sz w:val="32"/>
          <w:szCs w:val="32"/>
        </w:rPr>
        <w:t>且最多允许2个样品的检测结果超过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eastAsia="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企业标准《油炸马铃薯片（丝）》（Q/CJX 0001S</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2020）中规定，</w:t>
      </w:r>
      <w:r>
        <w:rPr>
          <w:rFonts w:hint="eastAsia" w:ascii="Times New Roman" w:hAnsi="Times New Roman" w:eastAsia="仿宋_GB2312"/>
          <w:sz w:val="32"/>
          <w:szCs w:val="32"/>
        </w:rPr>
        <w:t>马铃薯片中</w:t>
      </w:r>
      <w:r>
        <w:rPr>
          <w:rFonts w:hint="eastAsia" w:eastAsia="仿宋_GB2312"/>
          <w:sz w:val="32"/>
          <w:szCs w:val="32"/>
        </w:rPr>
        <w:t>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hint="eastAsia"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，且最多允许2个样品的检测结果超过10</w:t>
      </w:r>
      <w:r>
        <w:rPr>
          <w:rFonts w:hint="eastAsia"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ascii="Times New Roman" w:hAnsi="Times New Roman" w:eastAsia="仿宋_GB2312"/>
          <w:sz w:val="32"/>
          <w:szCs w:val="32"/>
        </w:rPr>
        <w:t>。</w:t>
      </w:r>
      <w:r>
        <w:rPr>
          <w:rFonts w:ascii="Times New Roman" w:hAnsi="Times New Roman" w:eastAsia="仿宋_GB2312"/>
          <w:sz w:val="32"/>
          <w:szCs w:val="32"/>
        </w:rPr>
        <w:t>《食品安全国家标准 熟肉制品》（GB 2726</w:t>
      </w:r>
      <w:r>
        <w:rPr>
          <w:rFonts w:hint="eastAsia" w:eastAsia="仿宋_GB2312"/>
          <w:kern w:val="0"/>
          <w:sz w:val="32"/>
          <w:szCs w:val="32"/>
        </w:rPr>
        <w:t>—</w:t>
      </w:r>
      <w:r>
        <w:rPr>
          <w:rFonts w:ascii="Times New Roman" w:hAnsi="Times New Roman" w:eastAsia="仿宋_GB2312"/>
          <w:sz w:val="32"/>
          <w:szCs w:val="32"/>
        </w:rPr>
        <w:t>2016）中规定，熟肉制品（除发酵肉制品外）</w:t>
      </w:r>
      <w:r>
        <w:rPr>
          <w:rFonts w:hint="eastAsia" w:ascii="Times New Roman" w:hAnsi="Times New Roman" w:eastAsia="仿宋_GB2312"/>
          <w:sz w:val="32"/>
          <w:szCs w:val="32"/>
        </w:rPr>
        <w:t>中</w:t>
      </w:r>
      <w:r>
        <w:rPr>
          <w:rFonts w:hint="eastAsia" w:eastAsia="仿宋_GB2312"/>
          <w:sz w:val="32"/>
          <w:szCs w:val="32"/>
        </w:rPr>
        <w:t>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w:t>
      </w:r>
      <w:r>
        <w:rPr>
          <w:rFonts w:ascii="Times New Roman" w:hAnsi="Times New Roman" w:eastAsia="仿宋_GB2312"/>
          <w:sz w:val="32"/>
          <w:szCs w:val="32"/>
        </w:rPr>
        <w:t>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ascii="Times New Roman" w:hAnsi="Times New Roman" w:eastAsia="仿宋_GB2312" w:cs="Times New Roman"/>
          <w:color w:val="000000" w:themeColor="text1"/>
          <w:sz w:val="32"/>
          <w:szCs w:val="32"/>
          <w14:textFill>
            <w14:solidFill>
              <w14:schemeClr w14:val="tx1"/>
            </w14:solidFill>
          </w14:textFill>
        </w:rPr>
        <w:t>《食品安全国家标准 方便面》（GB 17400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2015）中规定，方便面</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vertAlign w:val="superscript"/>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CFU/g，</w:t>
      </w:r>
      <w:r>
        <w:rPr>
          <w:rFonts w:ascii="Times New Roman" w:hAnsi="Times New Roman" w:eastAsia="仿宋_GB2312"/>
          <w:sz w:val="32"/>
          <w:szCs w:val="32"/>
        </w:rPr>
        <w:t>且最多允许</w:t>
      </w:r>
      <w:r>
        <w:rPr>
          <w:rFonts w:hint="eastAsia" w:ascii="Times New Roman" w:hAnsi="Times New Roman" w:eastAsia="仿宋_GB2312"/>
          <w:sz w:val="32"/>
          <w:szCs w:val="32"/>
        </w:rPr>
        <w:t>2个样品的</w:t>
      </w:r>
      <w:r>
        <w:rPr>
          <w:rFonts w:ascii="Times New Roman" w:hAnsi="Times New Roman" w:eastAsia="仿宋_GB2312"/>
          <w:color w:val="000000" w:themeColor="text1"/>
          <w:sz w:val="32"/>
          <w:szCs w:val="32"/>
          <w14:textFill>
            <w14:solidFill>
              <w14:schemeClr w14:val="tx1"/>
            </w14:solidFill>
          </w14:textFill>
        </w:rPr>
        <w:t>检测结果超过</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vertAlign w:val="superscript"/>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CFU/g。</w:t>
      </w:r>
      <w:r>
        <w:rPr>
          <w:rFonts w:hint="eastAsia" w:eastAsia="仿宋_GB2312"/>
          <w:sz w:val="32"/>
          <w:szCs w:val="32"/>
        </w:rPr>
        <w:t>《食品安全国家标准 动物性水产制品》（</w:t>
      </w:r>
      <w:r>
        <w:rPr>
          <w:rFonts w:ascii="Times New Roman" w:hAnsi="Times New Roman" w:eastAsia="仿宋_GB2312"/>
          <w:sz w:val="32"/>
          <w:szCs w:val="32"/>
        </w:rPr>
        <w:t>GB</w:t>
      </w:r>
      <w:r>
        <w:rPr>
          <w:rFonts w:hint="eastAsia" w:eastAsia="仿宋_GB2312"/>
          <w:sz w:val="32"/>
          <w:szCs w:val="32"/>
        </w:rPr>
        <w:t xml:space="preserve"> </w:t>
      </w:r>
      <w:r>
        <w:rPr>
          <w:rFonts w:ascii="Times New Roman" w:hAnsi="Times New Roman" w:eastAsia="仿宋_GB2312"/>
          <w:sz w:val="32"/>
          <w:szCs w:val="32"/>
        </w:rPr>
        <w:t>10136</w:t>
      </w:r>
      <w:r>
        <w:rPr>
          <w:rFonts w:hint="eastAsia" w:eastAsia="仿宋_GB2312"/>
          <w:sz w:val="32"/>
          <w:szCs w:val="32"/>
        </w:rPr>
        <w:t>—</w:t>
      </w:r>
      <w:r>
        <w:rPr>
          <w:rFonts w:ascii="Times New Roman" w:hAnsi="Times New Roman" w:eastAsia="仿宋_GB2312"/>
          <w:sz w:val="32"/>
          <w:szCs w:val="32"/>
        </w:rPr>
        <w:t>2015</w:t>
      </w:r>
      <w:r>
        <w:rPr>
          <w:rFonts w:hint="eastAsia" w:eastAsia="仿宋_GB2312"/>
          <w:sz w:val="32"/>
          <w:szCs w:val="32"/>
        </w:rPr>
        <w:t>）中规定，即食生制动物性水产制品中同一批次产品</w:t>
      </w:r>
      <w:r>
        <w:rPr>
          <w:rFonts w:ascii="Times New Roman" w:hAnsi="Times New Roman" w:eastAsia="仿宋_GB2312"/>
          <w:sz w:val="32"/>
          <w:szCs w:val="32"/>
        </w:rPr>
        <w:t>5</w:t>
      </w:r>
      <w:r>
        <w:rPr>
          <w:rFonts w:hint="eastAsia" w:eastAsia="仿宋_GB2312"/>
          <w:sz w:val="32"/>
          <w:szCs w:val="32"/>
        </w:rPr>
        <w:t>个样品的菌落总数检测结果均不得超过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5</w:t>
      </w:r>
      <w:r>
        <w:rPr>
          <w:rFonts w:ascii="Times New Roman" w:hAnsi="Times New Roman" w:eastAsia="仿宋_GB2312"/>
          <w:sz w:val="32"/>
          <w:szCs w:val="32"/>
        </w:rPr>
        <w:t>CFU/g</w:t>
      </w:r>
      <w:r>
        <w:rPr>
          <w:rFonts w:hint="eastAsia" w:eastAsia="仿宋_GB2312"/>
          <w:sz w:val="32"/>
          <w:szCs w:val="32"/>
        </w:rPr>
        <w:t>，且</w:t>
      </w:r>
      <w:r>
        <w:rPr>
          <w:rFonts w:hint="eastAsia" w:ascii="Times New Roman" w:hAnsi="Times New Roman" w:eastAsia="仿宋_GB2312"/>
          <w:sz w:val="32"/>
          <w:szCs w:val="32"/>
        </w:rPr>
        <w:t>最多允许2个样品的检测结果超过</w:t>
      </w:r>
      <w:r>
        <w:rPr>
          <w:rFonts w:ascii="Times New Roman" w:hAnsi="Times New Roman" w:eastAsia="仿宋_GB2312"/>
          <w:sz w:val="32"/>
          <w:szCs w:val="32"/>
        </w:rPr>
        <w:t>5×10</w:t>
      </w:r>
      <w:r>
        <w:rPr>
          <w:rFonts w:ascii="Times New Roman" w:hAnsi="Times New Roman" w:eastAsia="仿宋_GB2312"/>
          <w:sz w:val="32"/>
          <w:szCs w:val="32"/>
          <w:vertAlign w:val="superscript"/>
        </w:rPr>
        <w:t>4</w:t>
      </w:r>
      <w:r>
        <w:rPr>
          <w:rFonts w:ascii="Times New Roman" w:hAnsi="Times New Roman" w:eastAsia="仿宋_GB2312"/>
          <w:sz w:val="32"/>
          <w:szCs w:val="32"/>
        </w:rPr>
        <w:t>CFU/g</w:t>
      </w:r>
      <w:r>
        <w:rPr>
          <w:rFonts w:hint="eastAsia" w:eastAsia="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蜜饯</w:t>
      </w:r>
      <w:r>
        <w:rPr>
          <w:rFonts w:hint="eastAsia" w:ascii="Times New Roman" w:hAnsi="Times New Roman" w:eastAsia="仿宋_GB2312" w:cs="Times New Roman"/>
          <w:color w:val="000000" w:themeColor="text1"/>
          <w:sz w:val="32"/>
          <w:szCs w:val="32"/>
          <w14:textFill>
            <w14:solidFill>
              <w14:schemeClr w14:val="tx1"/>
            </w14:solidFill>
          </w14:textFill>
        </w:rPr>
        <w:t>、酱油、食用淀粉、</w:t>
      </w:r>
      <w:r>
        <w:rPr>
          <w:rFonts w:ascii="Times New Roman" w:hAnsi="Times New Roman" w:eastAsia="仿宋_GB2312" w:cs="Times New Roman"/>
          <w:color w:val="000000" w:themeColor="text1"/>
          <w:sz w:val="32"/>
          <w:szCs w:val="32"/>
          <w14:textFill>
            <w14:solidFill>
              <w14:schemeClr w14:val="tx1"/>
            </w14:solidFill>
          </w14:textFill>
        </w:rPr>
        <w:t>干制薯类（马铃薯片）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酱卤肉制品</w:t>
      </w:r>
      <w:r>
        <w:rPr>
          <w:rFonts w:hint="eastAsia" w:ascii="Times New Roman" w:hAnsi="Times New Roman" w:eastAsia="仿宋_GB2312" w:cs="Times New Roman"/>
          <w:color w:val="000000" w:themeColor="text1"/>
          <w:sz w:val="32"/>
          <w:szCs w:val="32"/>
          <w14:textFill>
            <w14:solidFill>
              <w14:schemeClr w14:val="tx1"/>
            </w14:solidFill>
          </w14:textFill>
        </w:rPr>
        <w:t>、方便面和</w:t>
      </w:r>
      <w:r>
        <w:rPr>
          <w:rFonts w:ascii="Times New Roman" w:hAnsi="Times New Roman" w:eastAsia="仿宋_GB2312" w:cs="Times New Roman"/>
          <w:color w:val="000000" w:themeColor="text1"/>
          <w:sz w:val="32"/>
          <w:szCs w:val="32"/>
          <w14:textFill>
            <w14:solidFill>
              <w14:schemeClr w14:val="tx1"/>
            </w14:solidFill>
          </w14:textFill>
        </w:rPr>
        <w:t>即食生制动物性水产制品</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菌落总数超标的原因，可能是企业未按要求严格控制生产加工过程的卫生条件，也可能与产品包装密封不严或储运条件不当等有关。</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二、大肠菌群</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大肠菌群是国内外通用的食品污染常用指示菌之一。食品中检出大肠菌群，提示被致病菌（如沙门氏菌、志贺氏菌、致病性大肠杆菌）污染的可能性较大。如果食品中的大肠菌群严重超标，将会破坏食品的营养成分，使食品失去食用价值；还会加速食品腐败变质，可能危害人体健康。</w:t>
      </w:r>
      <w:r>
        <w:rPr>
          <w:rFonts w:hint="eastAsia" w:ascii="Times New Roman" w:hAnsi="Times New Roman" w:eastAsia="仿宋_GB2312"/>
          <w:sz w:val="32"/>
          <w:szCs w:val="32"/>
        </w:rPr>
        <w:t>企业标准《油炸马铃薯片（丝）》（</w:t>
      </w:r>
      <w:r>
        <w:rPr>
          <w:rFonts w:ascii="Times New Roman" w:hAnsi="Times New Roman" w:eastAsia="仿宋_GB2312"/>
          <w:sz w:val="32"/>
          <w:szCs w:val="32"/>
        </w:rPr>
        <w:t>Q/CJX 0001S</w:t>
      </w:r>
      <w:r>
        <w:rPr>
          <w:rFonts w:hint="eastAsia" w:ascii="仿宋_GB2312"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20）中规定，马铃薯片中</w:t>
      </w:r>
      <w:r>
        <w:rPr>
          <w:rFonts w:hint="eastAsia" w:eastAsia="仿宋_GB2312"/>
          <w:sz w:val="32"/>
          <w:szCs w:val="32"/>
        </w:rPr>
        <w:t>同一批次产品</w:t>
      </w:r>
      <w:r>
        <w:rPr>
          <w:rFonts w:ascii="Times New Roman" w:hAnsi="Times New Roman" w:eastAsia="仿宋_GB2312"/>
          <w:sz w:val="32"/>
          <w:szCs w:val="32"/>
        </w:rPr>
        <w:t>5</w:t>
      </w:r>
      <w:r>
        <w:rPr>
          <w:rFonts w:hint="eastAsia" w:eastAsia="仿宋_GB2312"/>
          <w:sz w:val="32"/>
          <w:szCs w:val="32"/>
        </w:rPr>
        <w:t>个样品的大肠菌群检测结果均不得超过</w:t>
      </w:r>
      <w:r>
        <w:rPr>
          <w:rFonts w:ascii="Times New Roman" w:hAnsi="Times New Roman" w:eastAsia="仿宋_GB2312"/>
          <w:sz w:val="32"/>
          <w:szCs w:val="32"/>
        </w:rPr>
        <w:t>10</w:t>
      </w:r>
      <w:r>
        <w:rPr>
          <w:rFonts w:ascii="Times New Roman" w:hAnsi="Times New Roman" w:eastAsia="仿宋_GB2312"/>
          <w:sz w:val="32"/>
          <w:szCs w:val="32"/>
          <w:vertAlign w:val="superscript"/>
        </w:rPr>
        <w:t>2</w:t>
      </w:r>
      <w:r>
        <w:rPr>
          <w:rFonts w:ascii="Times New Roman" w:hAnsi="Times New Roman" w:eastAsia="仿宋_GB2312"/>
          <w:sz w:val="32"/>
          <w:szCs w:val="32"/>
        </w:rPr>
        <w:t>CFU/g</w:t>
      </w:r>
      <w:r>
        <w:rPr>
          <w:rFonts w:hint="eastAsia" w:ascii="Times New Roman" w:hAnsi="Times New Roman" w:eastAsia="仿宋_GB2312"/>
          <w:sz w:val="32"/>
          <w:szCs w:val="32"/>
        </w:rPr>
        <w:t>，且最多允许2个样品的检测结果超过10CFU/g</w:t>
      </w:r>
      <w:r>
        <w:rPr>
          <w:rFonts w:hint="eastAsia" w:eastAsia="仿宋_GB2312"/>
          <w:sz w:val="32"/>
          <w:szCs w:val="32"/>
        </w:rPr>
        <w:t>。</w:t>
      </w:r>
      <w:r>
        <w:rPr>
          <w:rFonts w:ascii="Times New Roman" w:hAnsi="Times New Roman" w:eastAsia="仿宋_GB2312" w:cs="Times New Roman"/>
          <w:color w:val="000000" w:themeColor="text1"/>
          <w:sz w:val="32"/>
          <w:szCs w:val="32"/>
          <w14:textFill>
            <w14:solidFill>
              <w14:schemeClr w14:val="tx1"/>
            </w14:solidFill>
          </w14:textFill>
        </w:rPr>
        <w:t>干制薯类（马铃薯片）中大肠菌群数超标的原因，可能是产品的加工原料、包装材料受污染，也可能是产品在生产过程中受人员、工器具等的污染，还可能是灭菌工艺灭菌不彻底导致的。</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三、霉菌</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会危害人体健康。《食品安全国家标准 坚果与籽类食品》（GB 19300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2014）中规定，炒货食品及坚果制品中烘炒工艺加工的熟制坚果与籽类食品样品霉菌最大限量值为25CFU/g。企业标准《方便冲调食品》（Q/SDZM 0002S</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2019）中规定，方便冲调食品</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hint="eastAsia" w:eastAsia="仿宋_GB2312"/>
          <w:sz w:val="32"/>
          <w:szCs w:val="32"/>
        </w:rPr>
        <w:t>同一批次产品</w:t>
      </w:r>
      <w:r>
        <w:rPr>
          <w:rFonts w:ascii="Times New Roman" w:hAnsi="Times New Roman" w:eastAsia="仿宋_GB2312"/>
          <w:sz w:val="32"/>
          <w:szCs w:val="32"/>
        </w:rPr>
        <w:t>5</w:t>
      </w:r>
      <w:r>
        <w:rPr>
          <w:rFonts w:hint="eastAsia" w:eastAsia="仿宋_GB2312"/>
          <w:sz w:val="32"/>
          <w:szCs w:val="32"/>
        </w:rPr>
        <w:t>个样品的霉菌检测结果均不得超过</w:t>
      </w:r>
      <w:r>
        <w:rPr>
          <w:rFonts w:ascii="Times New Roman" w:hAnsi="Times New Roman" w:eastAsia="仿宋_GB2312"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vertAlign w:val="superscript"/>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CFU/g，且</w:t>
      </w:r>
      <w:r>
        <w:rPr>
          <w:rFonts w:hint="eastAsia" w:ascii="Times New Roman" w:hAnsi="Times New Roman" w:eastAsia="仿宋_GB2312" w:cs="Times New Roman"/>
          <w:color w:val="000000" w:themeColor="text1"/>
          <w:sz w:val="32"/>
          <w:szCs w:val="32"/>
          <w14:textFill>
            <w14:solidFill>
              <w14:schemeClr w14:val="tx1"/>
            </w14:solidFill>
          </w14:textFill>
        </w:rPr>
        <w:t>最多允许2个样品</w:t>
      </w:r>
      <w:r>
        <w:rPr>
          <w:rFonts w:ascii="Times New Roman" w:hAnsi="Times New Roman" w:eastAsia="仿宋_GB2312" w:cs="Times New Roman"/>
          <w:color w:val="000000" w:themeColor="text1"/>
          <w:sz w:val="32"/>
          <w:szCs w:val="32"/>
          <w14:textFill>
            <w14:solidFill>
              <w14:schemeClr w14:val="tx1"/>
            </w14:solidFill>
          </w14:textFill>
        </w:rPr>
        <w:t>检测结果超过50CFU/g。炒货食品及坚果制品</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方便冲调食品中霉菌</w:t>
      </w:r>
      <w:r>
        <w:rPr>
          <w:rFonts w:hint="eastAsia" w:ascii="Times New Roman" w:hAnsi="Times New Roman" w:eastAsia="仿宋_GB2312" w:cs="Times New Roman"/>
          <w:color w:val="000000" w:themeColor="text1"/>
          <w:sz w:val="32"/>
          <w:szCs w:val="32"/>
          <w14:textFill>
            <w14:solidFill>
              <w14:schemeClr w14:val="tx1"/>
            </w14:solidFill>
          </w14:textFill>
        </w:rPr>
        <w:t>数</w:t>
      </w:r>
      <w:r>
        <w:rPr>
          <w:rFonts w:ascii="Times New Roman" w:hAnsi="Times New Roman" w:eastAsia="仿宋_GB2312" w:cs="Times New Roman"/>
          <w:color w:val="000000" w:themeColor="text1"/>
          <w:sz w:val="32"/>
          <w:szCs w:val="32"/>
          <w14:textFill>
            <w14:solidFill>
              <w14:schemeClr w14:val="tx1"/>
            </w14:solidFill>
          </w14:textFill>
        </w:rPr>
        <w:t>超标的原因，可能是原料或包装材料受到霉菌污染，也可能是产品在生产加工过程中卫生条件控制不到位，还可能与产品储运条件不当有关。</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w:t>
      </w:r>
      <w:r>
        <w:rPr>
          <w:rFonts w:ascii="黑体" w:hAnsi="黑体" w:eastAsia="黑体" w:cs="Times New Roman"/>
          <w:color w:val="000000" w:themeColor="text1"/>
          <w:sz w:val="32"/>
          <w:szCs w:val="32"/>
          <w14:textFill>
            <w14:solidFill>
              <w14:schemeClr w14:val="tx1"/>
            </w14:solidFill>
          </w14:textFill>
        </w:rPr>
        <w:t>、霉菌和酵母</w:t>
      </w:r>
    </w:p>
    <w:p>
      <w:pPr>
        <w:pStyle w:val="4"/>
        <w:spacing w:after="0" w:line="594" w:lineRule="exact"/>
        <w:ind w:firstLine="640"/>
        <w:rPr>
          <w:rFonts w:ascii="Times New Roman" w:hAnsi="Times New Roman" w:eastAsia="仿宋_GB2312"/>
          <w:szCs w:val="32"/>
        </w:rPr>
      </w:pPr>
      <w:r>
        <w:rPr>
          <w:rFonts w:hint="eastAsia" w:ascii="Times New Roman" w:hAnsi="Times New Roman" w:eastAsia="仿宋_GB2312"/>
          <w:szCs w:val="32"/>
        </w:rPr>
        <w:t>霉菌和酵母是自然界中常见的真菌，是评价食品卫生质量的指示性指标。食品中霉菌和酵母严重超标会破坏食品的营养成分，降低其食用价值；长期食用霉菌和酵母超标的食品，可能危害人体健康。</w:t>
      </w:r>
      <w:r>
        <w:rPr>
          <w:rFonts w:ascii="Times New Roman" w:hAnsi="Times New Roman" w:eastAsia="仿宋_GB2312"/>
          <w:szCs w:val="32"/>
        </w:rPr>
        <w:t xml:space="preserve">《食品安全国家标准 </w:t>
      </w:r>
      <w:r>
        <w:rPr>
          <w:rFonts w:hint="eastAsia" w:ascii="Times New Roman" w:hAnsi="Times New Roman" w:eastAsia="仿宋_GB2312"/>
          <w:szCs w:val="32"/>
        </w:rPr>
        <w:t>食用</w:t>
      </w:r>
      <w:r>
        <w:rPr>
          <w:rFonts w:ascii="Times New Roman" w:hAnsi="Times New Roman" w:eastAsia="仿宋_GB2312"/>
          <w:szCs w:val="32"/>
        </w:rPr>
        <w:t xml:space="preserve">淀粉》（GB </w:t>
      </w:r>
      <w:r>
        <w:rPr>
          <w:rFonts w:hint="eastAsia" w:ascii="Times New Roman" w:hAnsi="Times New Roman" w:eastAsia="仿宋_GB2312"/>
          <w:szCs w:val="32"/>
        </w:rPr>
        <w:t>31637—</w:t>
      </w:r>
      <w:r>
        <w:rPr>
          <w:rFonts w:ascii="Times New Roman" w:hAnsi="Times New Roman" w:eastAsia="仿宋_GB2312"/>
          <w:szCs w:val="32"/>
        </w:rPr>
        <w:t>2016）中规定，食用淀粉</w:t>
      </w:r>
      <w:r>
        <w:rPr>
          <w:rFonts w:hint="eastAsia" w:ascii="Times New Roman" w:hAnsi="Times New Roman" w:eastAsia="仿宋_GB2312"/>
          <w:szCs w:val="32"/>
        </w:rPr>
        <w:t>中霉菌和酵母不得超过</w:t>
      </w:r>
      <w:r>
        <w:rPr>
          <w:rFonts w:ascii="Times New Roman" w:hAnsi="Times New Roman" w:eastAsia="仿宋_GB2312"/>
          <w:szCs w:val="32"/>
        </w:rPr>
        <w:t>10</w:t>
      </w:r>
      <w:r>
        <w:rPr>
          <w:rFonts w:hint="eastAsia" w:ascii="Times New Roman" w:hAnsi="Times New Roman" w:eastAsia="仿宋_GB2312"/>
          <w:szCs w:val="32"/>
          <w:vertAlign w:val="superscript"/>
        </w:rPr>
        <w:t>3</w:t>
      </w:r>
      <w:r>
        <w:rPr>
          <w:rFonts w:hint="eastAsia" w:ascii="Times New Roman" w:hAnsi="Times New Roman" w:eastAsia="仿宋_GB2312"/>
          <w:szCs w:val="32"/>
        </w:rPr>
        <w:t>CFU/g</w:t>
      </w:r>
      <w:r>
        <w:rPr>
          <w:rFonts w:ascii="Times New Roman" w:hAnsi="Times New Roman" w:eastAsia="仿宋_GB2312"/>
          <w:szCs w:val="32"/>
        </w:rPr>
        <w:t>。</w:t>
      </w:r>
      <w:r>
        <w:rPr>
          <w:rFonts w:hint="eastAsia" w:ascii="Times New Roman" w:hAnsi="Times New Roman" w:eastAsia="仿宋_GB2312"/>
          <w:szCs w:val="32"/>
        </w:rPr>
        <w:t>食用淀粉中霉菌和酵母数超标的原因，可能是原料或包装材料受到污染，也可能是产品在生产加工过程中卫生条件控制不到位，还可能与产品储运条件不当有关。</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w:t>
      </w:r>
      <w:r>
        <w:rPr>
          <w:rFonts w:ascii="黑体" w:hAnsi="黑体" w:eastAsia="黑体" w:cs="Times New Roman"/>
          <w:color w:val="000000" w:themeColor="text1"/>
          <w:sz w:val="32"/>
          <w:szCs w:val="32"/>
          <w14:textFill>
            <w14:solidFill>
              <w14:schemeClr w14:val="tx1"/>
            </w14:solidFill>
          </w14:textFill>
        </w:rPr>
        <w:t>、克伦特罗</w:t>
      </w:r>
    </w:p>
    <w:p>
      <w:pPr>
        <w:pStyle w:val="6"/>
        <w:widowControl/>
        <w:autoSpaceDE w:val="0"/>
        <w:spacing w:beforeAutospacing="0" w:afterAutospacing="0" w:line="594" w:lineRule="exact"/>
        <w:ind w:firstLine="640" w:firstLineChars="200"/>
        <w:jc w:val="both"/>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sz w:val="32"/>
          <w:szCs w:val="32"/>
        </w:rPr>
        <w:t>克伦特罗属于</w:t>
      </w:r>
      <w:r>
        <w:rPr>
          <w:rFonts w:hint="default" w:ascii="Times New Roman" w:hAnsi="Times New Roman" w:eastAsia="仿宋_GB2312" w:cs="Times New Roman"/>
          <w:sz w:val="32"/>
          <w:szCs w:val="32"/>
        </w:rPr>
        <w:t>β</w:t>
      </w:r>
      <w:r>
        <w:rPr>
          <w:rFonts w:hint="eastAsia" w:ascii="Times New Roman" w:hAnsi="Times New Roman" w:eastAsia="仿宋_GB2312"/>
          <w:sz w:val="32"/>
          <w:szCs w:val="32"/>
        </w:rPr>
        <w:t>-兴奋剂类药物，可促进动物体蛋白质沉积、促进脂肪分解抑制脂肪沉积、提高瘦肉率和增重，因此被称为“瘦肉精”。长期食用</w:t>
      </w:r>
      <w:r>
        <w:rPr>
          <w:rFonts w:hint="eastAsia" w:ascii="Times New Roman" w:hAnsi="Times New Roman" w:eastAsia="仿宋_GB2312"/>
          <w:sz w:val="32"/>
          <w:szCs w:val="32"/>
          <w:lang w:eastAsia="zh-CN"/>
        </w:rPr>
        <w:t>检出</w:t>
      </w:r>
      <w:r>
        <w:rPr>
          <w:rFonts w:hint="eastAsia" w:ascii="Times New Roman" w:hAnsi="Times New Roman" w:eastAsia="仿宋_GB2312"/>
          <w:sz w:val="32"/>
          <w:szCs w:val="32"/>
        </w:rPr>
        <w:t>克伦特罗的动物性食品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可能引起人体四肢、面、颈部骨骼肌震颤及心悸、心动过速、乏力、头痛、恶心、呼吸困难等。《食品中可能违法添加的非食用物质和易滥用的食品添加剂名单（第四批）》（整顿办函〔2010〕50号）中规定，</w:t>
      </w:r>
      <w:r>
        <w:rPr>
          <w:rFonts w:ascii="Times New Roman" w:hAnsi="Times New Roman" w:eastAsia="仿宋_GB2312"/>
          <w:sz w:val="32"/>
          <w:szCs w:val="32"/>
        </w:rPr>
        <w:t>β</w:t>
      </w:r>
      <w:r>
        <w:rPr>
          <w:rFonts w:hint="eastAsia" w:ascii="Times New Roman" w:hAnsi="Times New Roman" w:eastAsia="仿宋_GB2312"/>
          <w:sz w:val="32"/>
          <w:szCs w:val="32"/>
        </w:rPr>
        <w:t>-兴奋剂类药物</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盐酸克伦特罗、莱克多巴胺等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为食品中可能违法添加的非食用物质（在动物性食品中不得检出）。牛肉中检出克伦特罗的原因，可能是在养殖过程中为提高瘦肉率、增重和提高饲料转化率而违规使用</w:t>
      </w:r>
      <w:r>
        <w:rPr>
          <w:rFonts w:hint="eastAsia" w:ascii="仿宋_GB2312" w:eastAsia="仿宋_GB2312"/>
          <w:sz w:val="32"/>
          <w:szCs w:val="32"/>
        </w:rPr>
        <w:t>。</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六</w:t>
      </w:r>
      <w:r>
        <w:rPr>
          <w:rFonts w:ascii="黑体" w:hAnsi="黑体" w:eastAsia="黑体" w:cs="Times New Roman"/>
          <w:color w:val="000000" w:themeColor="text1"/>
          <w:sz w:val="32"/>
          <w:szCs w:val="32"/>
          <w14:textFill>
            <w14:solidFill>
              <w14:schemeClr w14:val="tx1"/>
            </w14:solidFill>
          </w14:textFill>
        </w:rPr>
        <w:t>、甲氧苄啶</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甲氧苄啶为抗菌增效剂，常与磺胺类药物一起使用。长期食用甲氧苄啶超标的食品，可能会引起恶心、呕吐等症状。《食品安全国家标准 食品中兽药最大残留限量》（GB 31650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2019）</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规定，甲氧苄啶在鱼的皮和肉中最大残留限量值为50μg/kg。鳝鱼中甲氧苄啶</w:t>
      </w:r>
      <w:r>
        <w:rPr>
          <w:rFonts w:hint="eastAsia" w:ascii="Times New Roman" w:hAnsi="Times New Roman" w:eastAsia="仿宋_GB2312" w:cs="Times New Roman"/>
          <w:color w:val="000000" w:themeColor="text1"/>
          <w:sz w:val="32"/>
          <w:szCs w:val="32"/>
          <w14:textFill>
            <w14:solidFill>
              <w14:schemeClr w14:val="tx1"/>
            </w14:solidFill>
          </w14:textFill>
        </w:rPr>
        <w:t>残留量</w:t>
      </w:r>
      <w:r>
        <w:rPr>
          <w:rFonts w:ascii="Times New Roman" w:hAnsi="Times New Roman" w:eastAsia="仿宋_GB2312" w:cs="Times New Roman"/>
          <w:color w:val="000000" w:themeColor="text1"/>
          <w:sz w:val="32"/>
          <w:szCs w:val="32"/>
          <w14:textFill>
            <w14:solidFill>
              <w14:schemeClr w14:val="tx1"/>
            </w14:solidFill>
          </w14:textFill>
        </w:rPr>
        <w:t>超标的原因，可能是在养殖过程中为快速控制疫病，违规加大用药量或不遵守休药期规定，致使上市销售产品中的药物残留量超标。</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七</w:t>
      </w:r>
      <w:r>
        <w:rPr>
          <w:rFonts w:ascii="黑体" w:hAnsi="黑体" w:eastAsia="黑体" w:cs="Times New Roman"/>
          <w:color w:val="000000" w:themeColor="text1"/>
          <w:sz w:val="32"/>
          <w:szCs w:val="32"/>
          <w14:textFill>
            <w14:solidFill>
              <w14:schemeClr w14:val="tx1"/>
            </w14:solidFill>
          </w14:textFill>
        </w:rPr>
        <w:t>、恩诺沙星</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恩诺沙星属第三代喹诺酮类药物，是一类人工合成的广谱抗菌药，用于治疗动物的皮肤感染、呼吸道感染等，是动物专属用药。长期食用恩诺沙星残留超标的食品，可能在人体中蓄积，进而对人体机能产生危害，还可能使人体产生耐药性菌株。《食品安全国家标准 食品中兽药最大残留限量》（GB 31650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2019）</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规定，恩诺沙星在鱼的皮和肉中最大残留限量值为100μg/kg。鳝鱼中恩诺沙星</w:t>
      </w:r>
      <w:r>
        <w:rPr>
          <w:rFonts w:hint="eastAsia" w:ascii="Times New Roman" w:hAnsi="Times New Roman" w:eastAsia="仿宋_GB2312" w:cs="Times New Roman"/>
          <w:color w:val="000000" w:themeColor="text1"/>
          <w:sz w:val="32"/>
          <w:szCs w:val="32"/>
          <w14:textFill>
            <w14:solidFill>
              <w14:schemeClr w14:val="tx1"/>
            </w14:solidFill>
          </w14:textFill>
        </w:rPr>
        <w:t>残留量</w:t>
      </w:r>
      <w:r>
        <w:rPr>
          <w:rFonts w:ascii="Times New Roman" w:hAnsi="Times New Roman" w:eastAsia="仿宋_GB2312" w:cs="Times New Roman"/>
          <w:color w:val="000000" w:themeColor="text1"/>
          <w:sz w:val="32"/>
          <w:szCs w:val="32"/>
          <w14:textFill>
            <w14:solidFill>
              <w14:schemeClr w14:val="tx1"/>
            </w14:solidFill>
          </w14:textFill>
        </w:rPr>
        <w:t>超标的原因，可能是在养殖过程中为快速控制疫病，违规加大用药量或不遵守休药期规定，致使上市销售产品中的药物残留量超标。</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八</w:t>
      </w:r>
      <w:r>
        <w:rPr>
          <w:rFonts w:ascii="黑体" w:hAnsi="黑体" w:eastAsia="黑体" w:cs="Times New Roman"/>
          <w:color w:val="000000" w:themeColor="text1"/>
          <w:sz w:val="32"/>
          <w:szCs w:val="32"/>
          <w14:textFill>
            <w14:solidFill>
              <w14:schemeClr w14:val="tx1"/>
            </w14:solidFill>
          </w14:textFill>
        </w:rPr>
        <w:t>、镉（以</w:t>
      </w:r>
      <w:r>
        <w:rPr>
          <w:rFonts w:ascii="Times New Roman" w:hAnsi="Times New Roman" w:eastAsia="黑体" w:cs="Times New Roman"/>
          <w:color w:val="000000" w:themeColor="text1"/>
          <w:sz w:val="32"/>
          <w:szCs w:val="32"/>
          <w14:textFill>
            <w14:solidFill>
              <w14:schemeClr w14:val="tx1"/>
            </w14:solidFill>
          </w14:textFill>
        </w:rPr>
        <w:t>Cd</w:t>
      </w:r>
      <w:r>
        <w:rPr>
          <w:rFonts w:ascii="黑体" w:hAnsi="黑体" w:eastAsia="黑体" w:cs="Times New Roman"/>
          <w:color w:val="000000" w:themeColor="text1"/>
          <w:sz w:val="32"/>
          <w:szCs w:val="32"/>
          <w14:textFill>
            <w14:solidFill>
              <w14:schemeClr w14:val="tx1"/>
            </w14:solidFill>
          </w14:textFill>
        </w:rPr>
        <w:t>计）</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2017）</w:t>
      </w:r>
      <w:r>
        <w:rPr>
          <w:rFonts w:hint="eastAsia" w:ascii="Times New Roman" w:hAnsi="Times New Roman" w:eastAsia="仿宋_GB2312" w:cs="Times New Roman"/>
          <w:color w:val="000000" w:themeColor="text1"/>
          <w:sz w:val="32"/>
          <w:szCs w:val="32"/>
          <w14:textFill>
            <w14:solidFill>
              <w14:schemeClr w14:val="tx1"/>
            </w14:solidFill>
          </w14:textFill>
        </w:rPr>
        <w:t>中</w:t>
      </w:r>
      <w:r>
        <w:rPr>
          <w:rFonts w:ascii="Times New Roman" w:hAnsi="Times New Roman" w:eastAsia="仿宋_GB2312" w:cs="Times New Roman"/>
          <w:color w:val="000000" w:themeColor="text1"/>
          <w:sz w:val="32"/>
          <w:szCs w:val="32"/>
          <w14:textFill>
            <w14:solidFill>
              <w14:schemeClr w14:val="tx1"/>
            </w14:solidFill>
          </w14:textFill>
        </w:rPr>
        <w:t>规定，镉</w:t>
      </w:r>
      <w:r>
        <w:rPr>
          <w:rFonts w:hint="eastAsia" w:ascii="仿宋_GB2312" w:eastAsia="仿宋_GB2312"/>
          <w:sz w:val="32"/>
          <w:szCs w:val="32"/>
        </w:rPr>
        <w:t>（以</w:t>
      </w:r>
      <w:r>
        <w:rPr>
          <w:rFonts w:ascii="Times New Roman" w:hAnsi="Times New Roman" w:eastAsia="仿宋_GB2312"/>
          <w:sz w:val="32"/>
          <w:szCs w:val="32"/>
        </w:rPr>
        <w:t>Cd</w:t>
      </w:r>
      <w:r>
        <w:rPr>
          <w:rFonts w:hint="eastAsia" w:ascii="仿宋_GB2312" w:eastAsia="仿宋_GB2312"/>
          <w:sz w:val="32"/>
          <w:szCs w:val="32"/>
        </w:rPr>
        <w:t>计）</w:t>
      </w:r>
      <w:r>
        <w:rPr>
          <w:rFonts w:ascii="Times New Roman" w:hAnsi="Times New Roman" w:eastAsia="仿宋_GB2312" w:cs="Times New Roman"/>
          <w:color w:val="000000" w:themeColor="text1"/>
          <w:sz w:val="32"/>
          <w:szCs w:val="32"/>
          <w14:textFill>
            <w14:solidFill>
              <w14:schemeClr w14:val="tx1"/>
            </w14:solidFill>
          </w14:textFill>
        </w:rPr>
        <w:t>在新鲜蔬菜（叶菜蔬菜、豆类蔬菜、块根和块茎蔬菜、茎类蔬菜、黄花菜除外）中的限量值为0.05mg/kg。韭菜中镉（以Cd计）</w:t>
      </w:r>
      <w:r>
        <w:rPr>
          <w:rFonts w:hint="eastAsia" w:ascii="Times New Roman" w:hAnsi="Times New Roman" w:eastAsia="仿宋_GB2312" w:cs="Times New Roman"/>
          <w:color w:val="000000" w:themeColor="text1"/>
          <w:sz w:val="32"/>
          <w:szCs w:val="32"/>
          <w14:textFill>
            <w14:solidFill>
              <w14:schemeClr w14:val="tx1"/>
            </w14:solidFill>
          </w14:textFill>
        </w:rPr>
        <w:t>检测值</w:t>
      </w:r>
      <w:r>
        <w:rPr>
          <w:rFonts w:ascii="Times New Roman" w:hAnsi="Times New Roman" w:eastAsia="仿宋_GB2312" w:cs="Times New Roman"/>
          <w:color w:val="000000" w:themeColor="text1"/>
          <w:sz w:val="32"/>
          <w:szCs w:val="32"/>
          <w14:textFill>
            <w14:solidFill>
              <w14:schemeClr w14:val="tx1"/>
            </w14:solidFill>
          </w14:textFill>
        </w:rPr>
        <w:t>超标的原因</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可能是其生长过程中富集环境中的镉元素。</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九</w:t>
      </w:r>
      <w:r>
        <w:rPr>
          <w:rFonts w:ascii="黑体" w:hAnsi="黑体" w:eastAsia="黑体" w:cs="Times New Roman"/>
          <w:color w:val="000000" w:themeColor="text1"/>
          <w:sz w:val="32"/>
          <w:szCs w:val="32"/>
          <w14:textFill>
            <w14:solidFill>
              <w14:schemeClr w14:val="tx1"/>
            </w14:solidFill>
          </w14:textFill>
        </w:rPr>
        <w:t>、亮蓝</w:t>
      </w:r>
    </w:p>
    <w:p>
      <w:pPr>
        <w:adjustRightInd w:val="0"/>
        <w:snapToGrid w:val="0"/>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亮蓝又名食用蓝色2号，水溶性非偶氮类化合物，是常见的人工合成着色剂，在食品生产中应用广泛。如果长期摄入亮蓝超标的食品，存在致畸、致癌的可能性。《食品安全国家标准 食品添加剂使用标准》（GB 2760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凉果中亮蓝的最大使用量为0.025g/kg。</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中亮蓝</w:t>
      </w:r>
      <w:r>
        <w:rPr>
          <w:rFonts w:hint="eastAsia" w:ascii="Times New Roman" w:hAnsi="Times New Roman" w:eastAsia="仿宋_GB2312" w:cs="Times New Roman"/>
          <w:color w:val="000000" w:themeColor="text1"/>
          <w:sz w:val="32"/>
          <w:szCs w:val="32"/>
          <w14:textFill>
            <w14:solidFill>
              <w14:schemeClr w14:val="tx1"/>
            </w14:solidFill>
          </w14:textFill>
        </w:rPr>
        <w:t>检测值</w:t>
      </w:r>
      <w:r>
        <w:rPr>
          <w:rFonts w:ascii="Times New Roman" w:hAnsi="Times New Roman" w:eastAsia="仿宋_GB2312" w:cs="Times New Roman"/>
          <w:color w:val="000000" w:themeColor="text1"/>
          <w:sz w:val="32"/>
          <w:szCs w:val="32"/>
          <w14:textFill>
            <w14:solidFill>
              <w14:schemeClr w14:val="tx1"/>
            </w14:solidFill>
          </w14:textFill>
        </w:rPr>
        <w:t>超标的原因，可能是生产过程中计量不准导致终产品亮蓝超标，也可能是生产企业为改善产品色泽、提高市场价值而过量使用，还可能是企业掺假造假滥用色素。</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十</w:t>
      </w:r>
      <w:r>
        <w:rPr>
          <w:rFonts w:ascii="黑体" w:hAnsi="黑体" w:eastAsia="黑体" w:cs="Times New Roman"/>
          <w:color w:val="000000" w:themeColor="text1"/>
          <w:sz w:val="32"/>
          <w:szCs w:val="32"/>
          <w14:textFill>
            <w14:solidFill>
              <w14:schemeClr w14:val="tx1"/>
            </w14:solidFill>
          </w14:textFill>
        </w:rPr>
        <w:t>、日落黄</w:t>
      </w:r>
    </w:p>
    <w:p>
      <w:pPr>
        <w:adjustRightInd w:val="0"/>
        <w:snapToGrid w:val="0"/>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日落黄又名食用黄色3号，是常见的人工合成着色剂，在食品生产中应用广泛。如果长期摄入日落黄超标的食品，会对人体健康造成伤害，可能会引起风疹、荨麻疹、腹泻、小儿多动症。《食品安全国家标准 食品添加剂使用标准》（GB 2760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2014）中规定，蜜饯凉果中日落黄的最大使用量为0.1g/kg。</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中日落黄</w:t>
      </w:r>
      <w:r>
        <w:rPr>
          <w:rFonts w:hint="eastAsia" w:ascii="Times New Roman" w:hAnsi="Times New Roman" w:eastAsia="仿宋_GB2312" w:cs="Times New Roman"/>
          <w:color w:val="000000" w:themeColor="text1"/>
          <w:sz w:val="32"/>
          <w:szCs w:val="32"/>
          <w14:textFill>
            <w14:solidFill>
              <w14:schemeClr w14:val="tx1"/>
            </w14:solidFill>
          </w14:textFill>
        </w:rPr>
        <w:t>检测值</w:t>
      </w:r>
      <w:r>
        <w:rPr>
          <w:rFonts w:ascii="Times New Roman" w:hAnsi="Times New Roman" w:eastAsia="仿宋_GB2312" w:cs="Times New Roman"/>
          <w:color w:val="000000" w:themeColor="text1"/>
          <w:sz w:val="32"/>
          <w:szCs w:val="32"/>
          <w14:textFill>
            <w14:solidFill>
              <w14:schemeClr w14:val="tx1"/>
            </w14:solidFill>
          </w14:textFill>
        </w:rPr>
        <w:t>超标的原因，可能是生产过程中计量不准导致终产品日落黄超标，也可能是生产企业为改善产品色泽、提高市场价值而过量使用，还可能是企业掺假造假滥用色素。</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十一</w:t>
      </w:r>
      <w:r>
        <w:rPr>
          <w:rFonts w:ascii="黑体" w:hAnsi="黑体" w:eastAsia="黑体" w:cs="Times New Roman"/>
          <w:color w:val="000000" w:themeColor="text1"/>
          <w:sz w:val="32"/>
          <w:szCs w:val="32"/>
          <w14:textFill>
            <w14:solidFill>
              <w14:schemeClr w14:val="tx1"/>
            </w14:solidFill>
          </w14:textFill>
        </w:rPr>
        <w:t>、胭脂红</w:t>
      </w:r>
    </w:p>
    <w:p>
      <w:pPr>
        <w:adjustRightInd w:val="0"/>
        <w:snapToGrid w:val="0"/>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胭脂红又名大红、亮猩红，偶氮类化合物，是常见的人工合成着色剂，在食品生产中应用广泛。胭脂红在动物试验无中毒现象，但是如果长期摄入胭脂红超标的食品，存在致畸、致癌的可能性。《食品安全国家标准 食品添加剂使用标准》（GB 2760</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2014）中规定，蜜饯凉果中胭脂红的最大使用量为0.05g/kg。</w:t>
      </w:r>
      <w:r>
        <w:rPr>
          <w:rFonts w:hint="eastAsia" w:ascii="Times New Roman" w:hAnsi="Times New Roman" w:eastAsia="仿宋_GB2312" w:cs="Times New Roman"/>
          <w:color w:val="000000" w:themeColor="text1"/>
          <w:sz w:val="32"/>
          <w:szCs w:val="32"/>
          <w14:textFill>
            <w14:solidFill>
              <w14:schemeClr w14:val="tx1"/>
            </w14:solidFill>
          </w14:textFill>
        </w:rPr>
        <w:t>蜜饯</w:t>
      </w:r>
      <w:r>
        <w:rPr>
          <w:rFonts w:ascii="Times New Roman" w:hAnsi="Times New Roman" w:eastAsia="仿宋_GB2312" w:cs="Times New Roman"/>
          <w:color w:val="000000" w:themeColor="text1"/>
          <w:sz w:val="32"/>
          <w:szCs w:val="32"/>
          <w14:textFill>
            <w14:solidFill>
              <w14:schemeClr w14:val="tx1"/>
            </w14:solidFill>
          </w14:textFill>
        </w:rPr>
        <w:t>中胭脂红</w:t>
      </w:r>
      <w:r>
        <w:rPr>
          <w:rFonts w:hint="eastAsia" w:ascii="Times New Roman" w:hAnsi="Times New Roman" w:eastAsia="仿宋_GB2312" w:cs="Times New Roman"/>
          <w:color w:val="000000" w:themeColor="text1"/>
          <w:sz w:val="32"/>
          <w:szCs w:val="32"/>
          <w14:textFill>
            <w14:solidFill>
              <w14:schemeClr w14:val="tx1"/>
            </w14:solidFill>
          </w14:textFill>
        </w:rPr>
        <w:t>检测值</w:t>
      </w:r>
      <w:r>
        <w:rPr>
          <w:rFonts w:ascii="Times New Roman" w:hAnsi="Times New Roman" w:eastAsia="仿宋_GB2312" w:cs="Times New Roman"/>
          <w:color w:val="000000" w:themeColor="text1"/>
          <w:sz w:val="32"/>
          <w:szCs w:val="32"/>
          <w14:textFill>
            <w14:solidFill>
              <w14:schemeClr w14:val="tx1"/>
            </w14:solidFill>
          </w14:textFill>
        </w:rPr>
        <w:t>超标的原因，可能是生产过程中计量不准导致终产品胭脂红超标，也可能是生产企业为改善产品色泽、提高市场价值而过量使用，还可能是企业掺假造假滥用色素。</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十二、</w:t>
      </w:r>
      <w:r>
        <w:rPr>
          <w:rFonts w:ascii="黑体" w:hAnsi="黑体" w:eastAsia="黑体" w:cs="Times New Roman"/>
          <w:color w:val="000000" w:themeColor="text1"/>
          <w:sz w:val="32"/>
          <w:szCs w:val="32"/>
          <w14:textFill>
            <w14:solidFill>
              <w14:schemeClr w14:val="tx1"/>
            </w14:solidFill>
          </w14:textFill>
        </w:rPr>
        <w:t>氨基酸态氮</w:t>
      </w:r>
      <w:r>
        <w:rPr>
          <w:rFonts w:hint="eastAsia" w:ascii="黑体" w:hAnsi="黑体" w:eastAsia="黑体" w:cs="Times New Roman"/>
          <w:color w:val="000000" w:themeColor="text1"/>
          <w:sz w:val="32"/>
          <w:szCs w:val="32"/>
          <w14:textFill>
            <w14:solidFill>
              <w14:schemeClr w14:val="tx1"/>
            </w14:solidFill>
          </w14:textFill>
        </w:rPr>
        <w:t>（以氮计）</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氨基酸态氮是酱油的特征性品质指标之一，氨基酸态氮含量越高，酱油鲜味越浓，反映酱油的质量越好。氨基酸态氮不合格主要影响产品的品质。《食品安全国家标准 酱油》（GB 2717</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2018）中规定酱油中氨基酸态氮</w:t>
      </w:r>
      <w:r>
        <w:rPr>
          <w:rFonts w:hint="eastAsia" w:ascii="Times New Roman" w:hAnsi="Times New Roman" w:eastAsia="仿宋_GB2312" w:cs="Times New Roman"/>
          <w:color w:val="000000" w:themeColor="text1"/>
          <w:sz w:val="32"/>
          <w:szCs w:val="32"/>
          <w14:textFill>
            <w14:solidFill>
              <w14:schemeClr w14:val="tx1"/>
            </w14:solidFill>
          </w14:textFill>
        </w:rPr>
        <w:t>不得低于</w:t>
      </w:r>
      <w:r>
        <w:rPr>
          <w:rFonts w:ascii="Times New Roman" w:hAnsi="Times New Roman" w:eastAsia="仿宋_GB2312" w:cs="Times New Roman"/>
          <w:color w:val="000000" w:themeColor="text1"/>
          <w:sz w:val="32"/>
          <w:szCs w:val="32"/>
          <w14:textFill>
            <w14:solidFill>
              <w14:schemeClr w14:val="tx1"/>
            </w14:solidFill>
          </w14:textFill>
        </w:rPr>
        <w:t>0.4g/100mL，该批次产品中氨基酸态氮的检测值符合食品安全国家标准规定，但是由于该批次产品标签明示值规定“氨基酸态氮</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0.7g/100mL”，所以不符合产品标签明示值要求。酱油氨基酸态氮</w:t>
      </w:r>
      <w:r>
        <w:rPr>
          <w:rFonts w:hint="eastAsia" w:ascii="Times New Roman" w:hAnsi="Times New Roman" w:eastAsia="仿宋_GB2312" w:cs="Times New Roman"/>
          <w:color w:val="000000" w:themeColor="text1"/>
          <w:sz w:val="32"/>
          <w:szCs w:val="32"/>
          <w14:textFill>
            <w14:solidFill>
              <w14:schemeClr w14:val="tx1"/>
            </w14:solidFill>
          </w14:textFill>
        </w:rPr>
        <w:t>（以氮计）</w:t>
      </w:r>
      <w:r>
        <w:rPr>
          <w:rFonts w:ascii="Times New Roman" w:hAnsi="Times New Roman" w:eastAsia="仿宋_GB2312" w:cs="Times New Roman"/>
          <w:color w:val="000000" w:themeColor="text1"/>
          <w:sz w:val="32"/>
          <w:szCs w:val="32"/>
          <w14:textFill>
            <w14:solidFill>
              <w14:schemeClr w14:val="tx1"/>
            </w14:solidFill>
          </w14:textFill>
        </w:rPr>
        <w:t>含量不符合产品标签明示值要求</w:t>
      </w:r>
      <w:r>
        <w:rPr>
          <w:rFonts w:hint="eastAsia" w:ascii="Times New Roman" w:hAnsi="Times New Roman" w:eastAsia="仿宋_GB2312" w:cs="Times New Roman"/>
          <w:color w:val="000000" w:themeColor="text1"/>
          <w:sz w:val="32"/>
          <w:szCs w:val="32"/>
          <w14:textFill>
            <w14:solidFill>
              <w14:schemeClr w14:val="tx1"/>
            </w14:solidFill>
          </w14:textFill>
        </w:rPr>
        <w:t>的原因</w:t>
      </w:r>
      <w:r>
        <w:rPr>
          <w:rFonts w:ascii="Times New Roman" w:hAnsi="Times New Roman" w:eastAsia="仿宋_GB2312" w:cs="Times New Roman"/>
          <w:color w:val="000000" w:themeColor="text1"/>
          <w:sz w:val="32"/>
          <w:szCs w:val="32"/>
          <w14:textFill>
            <w14:solidFill>
              <w14:schemeClr w14:val="tx1"/>
            </w14:solidFill>
          </w14:textFill>
        </w:rPr>
        <w:t>，可能是产品生产工艺不符合标准要求，如未达到要求发酵的时间；也有可能是标签明示值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标识过高与实际情况不匹配</w:t>
      </w:r>
      <w:r>
        <w:rPr>
          <w:rFonts w:ascii="Times New Roman" w:hAnsi="Times New Roman" w:eastAsia="仿宋_GB2312" w:cs="Times New Roman"/>
          <w:color w:val="000000" w:themeColor="text1"/>
          <w:sz w:val="32"/>
          <w:szCs w:val="32"/>
          <w14:textFill>
            <w14:solidFill>
              <w14:schemeClr w14:val="tx1"/>
            </w14:solidFill>
          </w14:textFill>
        </w:rPr>
        <w:t>。</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十三、</w:t>
      </w:r>
      <w:r>
        <w:rPr>
          <w:rFonts w:ascii="黑体" w:hAnsi="黑体" w:eastAsia="黑体" w:cs="Times New Roman"/>
          <w:color w:val="000000" w:themeColor="text1"/>
          <w:sz w:val="32"/>
          <w:szCs w:val="32"/>
          <w14:textFill>
            <w14:solidFill>
              <w14:schemeClr w14:val="tx1"/>
            </w14:solidFill>
          </w14:textFill>
        </w:rPr>
        <w:t>总酸</w:t>
      </w:r>
      <w:r>
        <w:rPr>
          <w:rFonts w:hint="eastAsia" w:ascii="黑体" w:hAnsi="黑体" w:eastAsia="黑体" w:cs="Times New Roman"/>
          <w:color w:val="000000" w:themeColor="text1"/>
          <w:sz w:val="32"/>
          <w:szCs w:val="32"/>
          <w14:textFill>
            <w14:solidFill>
              <w14:schemeClr w14:val="tx1"/>
            </w14:solidFill>
          </w14:textFill>
        </w:rPr>
        <w:t>（以乙酸计）</w:t>
      </w:r>
    </w:p>
    <w:p>
      <w:pPr>
        <w:spacing w:line="594"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总酸是食醋的特征性品质指标之一。一般而言，总酸含量越高说明食醋发酵程度越高，酸味越浓。总酸不合格主要影响产品的品质。《食品安全国家标准 食醋》（GB 2719</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2018）中规定食醋中总酸</w:t>
      </w:r>
      <w:r>
        <w:rPr>
          <w:rFonts w:hint="eastAsia" w:ascii="Times New Roman" w:hAnsi="Times New Roman" w:eastAsia="仿宋_GB2312" w:cs="Times New Roman"/>
          <w:color w:val="000000" w:themeColor="text1"/>
          <w:sz w:val="32"/>
          <w:szCs w:val="32"/>
          <w14:textFill>
            <w14:solidFill>
              <w14:schemeClr w14:val="tx1"/>
            </w14:solidFill>
          </w14:textFill>
        </w:rPr>
        <w:t>含量不得低于</w:t>
      </w:r>
      <w:r>
        <w:rPr>
          <w:rFonts w:ascii="Times New Roman" w:hAnsi="Times New Roman" w:eastAsia="仿宋_GB2312" w:cs="Times New Roman"/>
          <w:color w:val="000000" w:themeColor="text1"/>
          <w:sz w:val="32"/>
          <w:szCs w:val="32"/>
          <w14:textFill>
            <w14:solidFill>
              <w14:schemeClr w14:val="tx1"/>
            </w14:solidFill>
          </w14:textFill>
        </w:rPr>
        <w:t>3.5g/100mL，该批次产品中总酸的检测值</w:t>
      </w:r>
      <w:r>
        <w:rPr>
          <w:rFonts w:hint="eastAsia" w:ascii="Times New Roman" w:hAnsi="Times New Roman" w:eastAsia="仿宋_GB2312" w:cs="Times New Roman"/>
          <w:color w:val="000000" w:themeColor="text1"/>
          <w:sz w:val="32"/>
          <w:szCs w:val="32"/>
          <w14:textFill>
            <w14:solidFill>
              <w14:schemeClr w14:val="tx1"/>
            </w14:solidFill>
          </w14:textFill>
        </w:rPr>
        <w:t>既</w:t>
      </w:r>
      <w:r>
        <w:rPr>
          <w:rFonts w:ascii="Times New Roman" w:hAnsi="Times New Roman" w:eastAsia="仿宋_GB2312" w:cs="Times New Roman"/>
          <w:color w:val="000000" w:themeColor="text1"/>
          <w:sz w:val="32"/>
          <w:szCs w:val="32"/>
          <w14:textFill>
            <w14:solidFill>
              <w14:schemeClr w14:val="tx1"/>
            </w14:solidFill>
          </w14:textFill>
        </w:rPr>
        <w:t>不符合食品安全国家标准规定，也不符合标签明示值规定</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总酸</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3.5g/100mL”。食醋总酸</w:t>
      </w:r>
      <w:r>
        <w:rPr>
          <w:rFonts w:hint="eastAsia" w:ascii="Times New Roman" w:hAnsi="Times New Roman" w:eastAsia="仿宋_GB2312" w:cs="Times New Roman"/>
          <w:color w:val="000000" w:themeColor="text1"/>
          <w:sz w:val="32"/>
          <w:szCs w:val="32"/>
          <w14:textFill>
            <w14:solidFill>
              <w14:schemeClr w14:val="tx1"/>
            </w14:solidFill>
          </w14:textFill>
        </w:rPr>
        <w:t>（以乙酸计）含量</w:t>
      </w:r>
      <w:r>
        <w:rPr>
          <w:rFonts w:ascii="Times New Roman" w:hAnsi="Times New Roman" w:eastAsia="仿宋_GB2312" w:cs="Times New Roman"/>
          <w:color w:val="000000" w:themeColor="text1"/>
          <w:sz w:val="32"/>
          <w:szCs w:val="32"/>
          <w14:textFill>
            <w14:solidFill>
              <w14:schemeClr w14:val="tx1"/>
            </w14:solidFill>
          </w14:textFill>
        </w:rPr>
        <w:t>不合格的原因，可能是生产企业生产工艺控制不严，</w:t>
      </w:r>
      <w:r>
        <w:rPr>
          <w:rFonts w:ascii="Times New Roman" w:hAnsi="Times New Roman" w:eastAsia="仿宋_GB2312"/>
          <w:sz w:val="32"/>
          <w:szCs w:val="32"/>
        </w:rPr>
        <w:t>未按</w:t>
      </w:r>
      <w:r>
        <w:rPr>
          <w:rFonts w:hint="eastAsia" w:ascii="Times New Roman" w:hAnsi="Times New Roman" w:eastAsia="仿宋_GB2312"/>
          <w:sz w:val="32"/>
          <w:szCs w:val="32"/>
        </w:rPr>
        <w:t>产品</w:t>
      </w:r>
      <w:r>
        <w:rPr>
          <w:rFonts w:ascii="Times New Roman" w:hAnsi="Times New Roman" w:eastAsia="仿宋_GB2312"/>
          <w:sz w:val="32"/>
          <w:szCs w:val="32"/>
        </w:rPr>
        <w:t>标签明示要求组织生产</w:t>
      </w:r>
      <w:r>
        <w:rPr>
          <w:rFonts w:ascii="Times New Roman" w:hAnsi="Times New Roman" w:eastAsia="仿宋_GB2312" w:cs="Times New Roman"/>
          <w:color w:val="000000" w:themeColor="text1"/>
          <w:sz w:val="32"/>
          <w:szCs w:val="32"/>
          <w14:textFill>
            <w14:solidFill>
              <w14:schemeClr w14:val="tx1"/>
            </w14:solidFill>
          </w14:textFill>
        </w:rPr>
        <w:t>；还可能是出厂检验把关不严造成。</w:t>
      </w:r>
    </w:p>
    <w:p>
      <w:pPr>
        <w:spacing w:line="594" w:lineRule="exact"/>
        <w:ind w:firstLine="640" w:firstLineChars="200"/>
        <w:contextualSpacing/>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十四、</w:t>
      </w:r>
      <w:r>
        <w:rPr>
          <w:rFonts w:ascii="黑体" w:hAnsi="黑体" w:eastAsia="黑体" w:cs="Times New Roman"/>
          <w:color w:val="000000" w:themeColor="text1"/>
          <w:sz w:val="32"/>
          <w:szCs w:val="32"/>
          <w14:textFill>
            <w14:solidFill>
              <w14:schemeClr w14:val="tx1"/>
            </w14:solidFill>
          </w14:textFill>
        </w:rPr>
        <w:t>酒精度</w:t>
      </w:r>
    </w:p>
    <w:p>
      <w:pPr>
        <w:spacing w:line="594" w:lineRule="exact"/>
        <w:ind w:firstLine="640" w:firstLineChars="200"/>
        <w:contextualSpacing/>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酒精度又叫酒度，是指在20℃时，100毫升酒中含有乙醇（酒精）的毫升数，即体积（容量）的百分数。酒精度是酒类产品的一个重要理化指标，含量不达标主要影响产品的品质。《清香型白酒》（GB/T 10781.2</w:t>
      </w:r>
      <w:r>
        <w:rPr>
          <w:rFonts w:hint="eastAsia" w:ascii="仿宋_GB2312" w:hAnsi="Times New Roman" w:eastAsia="仿宋_GB2312" w:cs="Times New Roman"/>
          <w:color w:val="000000" w:themeColor="text1"/>
          <w:kern w:val="0"/>
          <w:sz w:val="32"/>
          <w:szCs w:val="32"/>
          <w14:textFill>
            <w14:solidFill>
              <w14:schemeClr w14:val="tx1"/>
            </w14:solidFill>
          </w14:textFill>
        </w:rPr>
        <w:t>—</w:t>
      </w:r>
      <w:r>
        <w:rPr>
          <w:rFonts w:ascii="Times New Roman" w:hAnsi="Times New Roman" w:eastAsia="仿宋_GB2312" w:cs="Times New Roman"/>
          <w:color w:val="000000" w:themeColor="text1"/>
          <w:kern w:val="0"/>
          <w:sz w:val="32"/>
          <w:szCs w:val="32"/>
          <w14:textFill>
            <w14:solidFill>
              <w14:schemeClr w14:val="tx1"/>
            </w14:solidFill>
          </w14:textFill>
        </w:rPr>
        <w:t>1989）中规定酒精度允许误差为±1.0</w:t>
      </w:r>
      <w:r>
        <w:rPr>
          <w:rFonts w:hint="eastAsia" w:ascii="Times New Roman" w:hAnsi="Times New Roman" w:eastAsia="仿宋_GB2312" w:cs="Times New Roman"/>
          <w:color w:val="000000" w:themeColor="text1"/>
          <w:kern w:val="0"/>
          <w:sz w:val="32"/>
          <w:szCs w:val="32"/>
          <w14:textFill>
            <w14:solidFill>
              <w14:schemeClr w14:val="tx1"/>
            </w14:solidFill>
          </w14:textFill>
        </w:rPr>
        <w:t>度</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酒类中</w:t>
      </w:r>
      <w:r>
        <w:rPr>
          <w:rFonts w:ascii="Times New Roman" w:hAnsi="Times New Roman" w:eastAsia="仿宋_GB2312" w:cs="Times New Roman"/>
          <w:color w:val="000000" w:themeColor="text1"/>
          <w:kern w:val="0"/>
          <w:sz w:val="32"/>
          <w:szCs w:val="32"/>
          <w14:textFill>
            <w14:solidFill>
              <w14:schemeClr w14:val="tx1"/>
            </w14:solidFill>
          </w14:textFill>
        </w:rPr>
        <w:t>酒精度未达到产品标签明示要求的原因，</w:t>
      </w:r>
      <w:r>
        <w:rPr>
          <w:rFonts w:ascii="Times New Roman" w:hAnsi="Times New Roman" w:eastAsia="仿宋_GB2312" w:cs="Times New Roman"/>
          <w:color w:val="000000" w:themeColor="text1"/>
          <w:sz w:val="32"/>
          <w:szCs w:val="32"/>
          <w14:textFill>
            <w14:solidFill>
              <w14:schemeClr w14:val="tx1"/>
            </w14:solidFill>
          </w14:textFill>
        </w:rPr>
        <w:t>可能是个别企业生产工艺控制不严格或生产工艺水平较低，无法准确控制酒精度；也</w:t>
      </w:r>
      <w:r>
        <w:rPr>
          <w:rFonts w:ascii="Times New Roman" w:hAnsi="Times New Roman" w:eastAsia="仿宋_GB2312" w:cs="Times New Roman"/>
          <w:color w:val="000000" w:themeColor="text1"/>
          <w:kern w:val="0"/>
          <w:sz w:val="32"/>
          <w:szCs w:val="32"/>
          <w14:textFill>
            <w14:solidFill>
              <w14:schemeClr w14:val="tx1"/>
            </w14:solidFill>
          </w14:textFill>
        </w:rPr>
        <w:t>可能是生产企业检验器具未检定或检验过程不规范，造成检验结果有偏差；还可能是包装不严密造成酒精挥发。</w:t>
      </w:r>
    </w:p>
    <w:p>
      <w:pPr>
        <w:spacing w:line="594" w:lineRule="exact"/>
        <w:ind w:firstLine="640" w:firstLineChars="200"/>
        <w:contextualSpacing/>
        <w:rPr>
          <w:rFonts w:ascii="Times New Roman" w:hAnsi="Times New Roman" w:eastAsia="仿宋_GB2312" w:cs="Times New Roman"/>
          <w:color w:val="000000" w:themeColor="text1"/>
          <w:kern w:val="0"/>
          <w:sz w:val="32"/>
          <w:szCs w:val="32"/>
          <w14:textFill>
            <w14:solidFill>
              <w14:schemeClr w14:val="tx1"/>
            </w14:solidFill>
          </w14:textFill>
        </w:rPr>
      </w:pPr>
    </w:p>
    <w:p>
      <w:pPr>
        <w:spacing w:line="594" w:lineRule="exact"/>
        <w:ind w:firstLine="640" w:firstLineChars="200"/>
        <w:contextualSpacing/>
        <w:rPr>
          <w:rFonts w:ascii="Times New Roman" w:hAnsi="Times New Roman" w:eastAsia="仿宋_GB2312" w:cs="Times New Roman"/>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901383"/>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B7"/>
    <w:rsid w:val="00016756"/>
    <w:rsid w:val="00041622"/>
    <w:rsid w:val="000645E1"/>
    <w:rsid w:val="000F109C"/>
    <w:rsid w:val="001D31C1"/>
    <w:rsid w:val="0021610C"/>
    <w:rsid w:val="00233EB3"/>
    <w:rsid w:val="002A092C"/>
    <w:rsid w:val="002A61B4"/>
    <w:rsid w:val="002C4138"/>
    <w:rsid w:val="00344A10"/>
    <w:rsid w:val="003D7143"/>
    <w:rsid w:val="00416AC4"/>
    <w:rsid w:val="00474FB4"/>
    <w:rsid w:val="00495202"/>
    <w:rsid w:val="00497D10"/>
    <w:rsid w:val="004B7CBD"/>
    <w:rsid w:val="004D165D"/>
    <w:rsid w:val="00501A15"/>
    <w:rsid w:val="00581CA2"/>
    <w:rsid w:val="006F2069"/>
    <w:rsid w:val="007641F8"/>
    <w:rsid w:val="007A2EF2"/>
    <w:rsid w:val="007D296C"/>
    <w:rsid w:val="007F3B23"/>
    <w:rsid w:val="008E770D"/>
    <w:rsid w:val="00904C59"/>
    <w:rsid w:val="00906E93"/>
    <w:rsid w:val="00913736"/>
    <w:rsid w:val="00A13DCE"/>
    <w:rsid w:val="00A663B7"/>
    <w:rsid w:val="00AF30AA"/>
    <w:rsid w:val="00B17DCC"/>
    <w:rsid w:val="00B519F6"/>
    <w:rsid w:val="00BA2CD0"/>
    <w:rsid w:val="00C17343"/>
    <w:rsid w:val="00C230DD"/>
    <w:rsid w:val="00CF2E02"/>
    <w:rsid w:val="00D004EC"/>
    <w:rsid w:val="00D44B10"/>
    <w:rsid w:val="00E3441E"/>
    <w:rsid w:val="00E71EF5"/>
    <w:rsid w:val="00FC091B"/>
    <w:rsid w:val="0231185D"/>
    <w:rsid w:val="04275EE6"/>
    <w:rsid w:val="084018A5"/>
    <w:rsid w:val="088B2CC0"/>
    <w:rsid w:val="14BB238E"/>
    <w:rsid w:val="16F27985"/>
    <w:rsid w:val="1A9F334E"/>
    <w:rsid w:val="20BF3330"/>
    <w:rsid w:val="25531CA3"/>
    <w:rsid w:val="430F7598"/>
    <w:rsid w:val="4D3C5904"/>
    <w:rsid w:val="4EC3456F"/>
    <w:rsid w:val="543E16CB"/>
    <w:rsid w:val="5C7731A3"/>
    <w:rsid w:val="5C806175"/>
    <w:rsid w:val="5D157B6C"/>
    <w:rsid w:val="629C3301"/>
    <w:rsid w:val="6B003698"/>
    <w:rsid w:val="731023A7"/>
    <w:rsid w:val="758409E5"/>
    <w:rsid w:val="77406409"/>
    <w:rsid w:val="7E737FB5"/>
    <w:rsid w:val="7ED8597F"/>
    <w:rsid w:val="7F426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Body Text First Indent 2"/>
    <w:basedOn w:val="2"/>
    <w:link w:val="12"/>
    <w:qFormat/>
    <w:uiPriority w:val="0"/>
    <w:pPr>
      <w:adjustRightInd w:val="0"/>
      <w:ind w:left="0" w:leftChars="0" w:firstLine="880" w:firstLineChars="200"/>
    </w:pPr>
    <w:rPr>
      <w:rFonts w:ascii="Calibri" w:hAnsi="Calibri" w:eastAsia="仿宋" w:cs="Times New Roman"/>
      <w:sz w:val="32"/>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asciiTheme="minorHAnsi" w:hAnsiTheme="minorHAnsi" w:eastAsiaTheme="minorEastAsia"/>
      <w:kern w:val="0"/>
      <w:sz w:val="24"/>
      <w:szCs w:val="22"/>
    </w:rPr>
  </w:style>
  <w:style w:type="character" w:customStyle="1" w:styleId="9">
    <w:name w:val="页眉 字符"/>
    <w:basedOn w:val="7"/>
    <w:link w:val="5"/>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正文文本缩进 字符"/>
    <w:basedOn w:val="7"/>
    <w:link w:val="2"/>
    <w:semiHidden/>
    <w:qFormat/>
    <w:uiPriority w:val="99"/>
  </w:style>
  <w:style w:type="character" w:customStyle="1" w:styleId="12">
    <w:name w:val="正文文本首行缩进 2 字符"/>
    <w:basedOn w:val="11"/>
    <w:link w:val="4"/>
    <w:qFormat/>
    <w:uiPriority w:val="0"/>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635</Words>
  <Characters>3622</Characters>
  <Lines>30</Lines>
  <Paragraphs>8</Paragraphs>
  <TotalTime>23</TotalTime>
  <ScaleCrop>false</ScaleCrop>
  <LinksUpToDate>false</LinksUpToDate>
  <CharactersWithSpaces>4249</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2021-05-28T06:03:00Z</dcterms:created>
  <dc:creator>秘书处</dc:creator>
  <cp:lastModifiedBy>薛莹</cp:lastModifiedBy>
  <dcterms:modified xsi:type="dcterms:W3CDTF">2021-07-01T10:14:22Z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