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594" w:lineRule="exact"/>
        <w:ind w:firstLine="880" w:firstLineChars="200"/>
        <w:jc w:val="center"/>
        <w:rPr>
          <w:rFonts w:ascii="方正小标宋简体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部分不合格检验项目小知识</w:t>
      </w:r>
    </w:p>
    <w:p>
      <w:pPr>
        <w:spacing w:line="594" w:lineRule="exact"/>
        <w:ind w:firstLine="640" w:firstLineChars="200"/>
        <w:jc w:val="center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4" w:lineRule="exact"/>
        <w:ind w:firstLine="592" w:firstLineChars="200"/>
        <w:rPr>
          <w:rFonts w:eastAsia="黑体"/>
          <w:spacing w:val="-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</w:rPr>
        <w:t>一、</w:t>
      </w:r>
      <w:r>
        <w:rPr>
          <w:rFonts w:ascii="Times New Roman" w:hAnsi="Times New Roman" w:eastAsia="黑体"/>
          <w:spacing w:val="-12"/>
          <w:sz w:val="32"/>
          <w:szCs w:val="32"/>
        </w:rPr>
        <w:t>N</w:t>
      </w:r>
      <w:r>
        <w:rPr>
          <w:rFonts w:hint="eastAsia" w:eastAsia="黑体"/>
          <w:spacing w:val="-12"/>
          <w:sz w:val="32"/>
          <w:szCs w:val="32"/>
        </w:rPr>
        <w:t>-二甲基亚硝胺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N-二甲基亚硝胺是N-亚硝胺类化合物的一种，是国际公认的毒性较大的污染物，具有肝毒性和致癌性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目前由N-二甲基亚硝胺引起的急性中毒较少，但如果一次或多次摄入含大量N-亚硝胺类化合物的食物，也可能引起急性中毒。《食品安全国家标准 食品中污染物限量》（GB 2762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2017）中规定，N-二甲基亚硝胺在水产制品（水产品罐头除外）中的限量值为4.0μg/kg。熟制动物性水产制品中N-二甲基亚硝胺</w:t>
      </w:r>
      <w:r>
        <w:rPr>
          <w:rFonts w:hint="eastAsia" w:ascii="Times New Roman" w:hAnsi="Times New Roman" w:eastAsia="仿宋_GB2312"/>
          <w:sz w:val="32"/>
          <w:szCs w:val="32"/>
        </w:rPr>
        <w:t>检测值</w:t>
      </w:r>
      <w:r>
        <w:rPr>
          <w:rFonts w:ascii="Times New Roman" w:hAnsi="Times New Roman" w:eastAsia="仿宋_GB2312"/>
          <w:sz w:val="32"/>
          <w:szCs w:val="32"/>
        </w:rPr>
        <w:t>超标的原因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可能是产品原料腐败所致或加工过程中污染所致。</w:t>
      </w:r>
    </w:p>
    <w:p>
      <w:pPr>
        <w:spacing w:line="594" w:lineRule="exact"/>
        <w:ind w:firstLine="592" w:firstLineChars="200"/>
        <w:rPr>
          <w:rFonts w:ascii="黑体" w:hAnsi="黑体" w:eastAsia="黑体"/>
          <w:spacing w:val="-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</w:rPr>
        <w:t>二、地西泮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地西泮为苯二氮卓类镇静催眠药，临床上用于抗焦虑、镇静催眠、抗惊厥、抗癫痫及中枢性肌肉松弛作用。长期</w:t>
      </w:r>
      <w:r>
        <w:rPr>
          <w:rFonts w:hint="eastAsia" w:ascii="Times New Roman" w:hAnsi="Times New Roman" w:eastAsia="仿宋_GB2312"/>
          <w:sz w:val="32"/>
          <w:szCs w:val="32"/>
        </w:rPr>
        <w:t>食用检出地西泮的食品，可能</w:t>
      </w:r>
      <w:r>
        <w:rPr>
          <w:rFonts w:hint="eastAsia" w:ascii="仿宋_GB2312" w:eastAsia="仿宋_GB2312"/>
          <w:sz w:val="32"/>
          <w:szCs w:val="32"/>
        </w:rPr>
        <w:t>会引起嗜睡、头昏、乏力和记忆力下降等。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《食品安全国家标准 食品中兽药最大残留限量》（GB 31650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2019）</w:t>
      </w:r>
      <w:r>
        <w:rPr>
          <w:rFonts w:ascii="Times New Roman" w:hAnsi="Times New Roman" w:eastAsia="仿宋_GB2312" w:cs="Times New Roman"/>
          <w:sz w:val="32"/>
          <w:szCs w:val="32"/>
        </w:rPr>
        <w:t>中规定，</w:t>
      </w:r>
      <w:r>
        <w:rPr>
          <w:rFonts w:hint="eastAsia" w:ascii="Times New Roman" w:hAnsi="Times New Roman" w:eastAsia="仿宋_GB2312"/>
          <w:sz w:val="32"/>
          <w:szCs w:val="32"/>
        </w:rPr>
        <w:t>地西泮为允许作治疗用，但不得在动物性食品中检出的兽药</w:t>
      </w:r>
      <w:r>
        <w:rPr>
          <w:rFonts w:hint="eastAsia" w:ascii="仿宋_GB2312" w:eastAsia="仿宋_GB2312"/>
          <w:sz w:val="32"/>
          <w:szCs w:val="32"/>
        </w:rPr>
        <w:t>。淡水鱼中检出地西泮的原因，可能是为降低新鲜活鱼对外界的感知能力，保证其经运输后仍然鲜活而违规使用。</w:t>
      </w:r>
    </w:p>
    <w:p>
      <w:pPr>
        <w:spacing w:line="594" w:lineRule="exact"/>
        <w:ind w:firstLine="592" w:firstLineChars="200"/>
        <w:rPr>
          <w:rFonts w:ascii="黑体" w:hAnsi="黑体" w:eastAsia="黑体"/>
          <w:spacing w:val="-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</w:rPr>
        <w:t>三、戊唑醇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戊唑醇是一种具有保护、治疗和铲除作用的内吸性杀菌剂，对芒果炭疽病</w:t>
      </w:r>
      <w:r>
        <w:rPr>
          <w:rFonts w:hint="eastAsia" w:ascii="Times New Roman" w:hAnsi="Times New Roman" w:eastAsia="仿宋_GB2312"/>
          <w:sz w:val="32"/>
          <w:szCs w:val="32"/>
        </w:rPr>
        <w:t>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有较好防效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少量的残留不会引起人体急性中毒</w:t>
      </w:r>
      <w:r>
        <w:rPr>
          <w:rFonts w:hint="eastAsia" w:ascii="仿宋_GB2312" w:eastAsia="仿宋_GB2312"/>
          <w:sz w:val="32"/>
          <w:szCs w:val="32"/>
        </w:rPr>
        <w:t>，但长期食用戊唑醇超标的食品，对人体健康可能有一定影响。</w:t>
      </w:r>
      <w:r>
        <w:rPr>
          <w:rFonts w:hint="eastAsia" w:ascii="Times New Roman" w:hAnsi="Times New Roman" w:eastAsia="仿宋_GB2312"/>
          <w:sz w:val="32"/>
          <w:szCs w:val="32"/>
        </w:rPr>
        <w:t>《食品安全国家标准 食品中农药最大残留限量》（GB 2763—2019）中规定，</w:t>
      </w:r>
      <w:r>
        <w:rPr>
          <w:rFonts w:hint="eastAsia" w:ascii="仿宋_GB2312" w:eastAsia="仿宋_GB2312"/>
          <w:sz w:val="32"/>
          <w:szCs w:val="32"/>
        </w:rPr>
        <w:t>戊唑醇</w:t>
      </w:r>
      <w:r>
        <w:rPr>
          <w:rFonts w:hint="eastAsia" w:ascii="Times New Roman" w:hAnsi="Times New Roman" w:eastAsia="仿宋_GB2312"/>
          <w:sz w:val="32"/>
          <w:szCs w:val="32"/>
        </w:rPr>
        <w:t>在芒果中的最大残留限量值为0.05mg/kg。芒果中</w:t>
      </w:r>
      <w:r>
        <w:rPr>
          <w:rFonts w:hint="eastAsia" w:ascii="仿宋_GB2312" w:eastAsia="仿宋_GB2312"/>
          <w:sz w:val="32"/>
          <w:szCs w:val="32"/>
        </w:rPr>
        <w:t>戊唑醇残留量</w:t>
      </w:r>
      <w:r>
        <w:rPr>
          <w:rFonts w:hint="eastAsia" w:ascii="Times New Roman" w:hAnsi="Times New Roman" w:eastAsia="仿宋_GB2312"/>
          <w:sz w:val="32"/>
          <w:szCs w:val="32"/>
        </w:rPr>
        <w:t>超标的原因，可能</w:t>
      </w:r>
      <w:r>
        <w:rPr>
          <w:rFonts w:hint="eastAsia" w:ascii="仿宋_GB2312" w:eastAsia="仿宋_GB2312"/>
          <w:sz w:val="32"/>
          <w:szCs w:val="32"/>
        </w:rPr>
        <w:t>是</w:t>
      </w:r>
      <w:r>
        <w:rPr>
          <w:rFonts w:hint="eastAsia" w:ascii="Times New Roman" w:hAnsi="Times New Roman" w:eastAsia="仿宋_GB2312"/>
          <w:sz w:val="32"/>
          <w:szCs w:val="32"/>
        </w:rPr>
        <w:t>为</w:t>
      </w:r>
      <w:r>
        <w:rPr>
          <w:rFonts w:ascii="Times New Roman" w:hAnsi="Times New Roman" w:eastAsia="仿宋_GB2312"/>
          <w:sz w:val="32"/>
          <w:szCs w:val="32"/>
        </w:rPr>
        <w:t>快速控制病情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加大用药量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未遵守采摘间隔期</w:t>
      </w:r>
      <w:r>
        <w:rPr>
          <w:rFonts w:hint="eastAsia" w:ascii="Times New Roman" w:hAnsi="Times New Roman" w:eastAsia="仿宋_GB2312"/>
          <w:sz w:val="32"/>
          <w:szCs w:val="32"/>
        </w:rPr>
        <w:t>规定</w:t>
      </w:r>
      <w:r>
        <w:rPr>
          <w:rFonts w:ascii="Times New Roman" w:hAnsi="Times New Roman" w:eastAsia="仿宋_GB2312"/>
          <w:sz w:val="32"/>
          <w:szCs w:val="32"/>
        </w:rPr>
        <w:t>，致使上市销售</w:t>
      </w:r>
      <w:r>
        <w:rPr>
          <w:rFonts w:hint="eastAsia" w:ascii="Times New Roman" w:hAnsi="Times New Roman" w:eastAsia="仿宋_GB2312"/>
          <w:sz w:val="32"/>
          <w:szCs w:val="32"/>
        </w:rPr>
        <w:t>的产品中残留量超标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594" w:lineRule="exact"/>
        <w:ind w:firstLine="592" w:firstLineChars="200"/>
        <w:rPr>
          <w:rFonts w:eastAsia="黑体"/>
          <w:sz w:val="32"/>
          <w:szCs w:val="32"/>
        </w:rPr>
      </w:pPr>
      <w:r>
        <w:rPr>
          <w:rFonts w:hint="eastAsia" w:eastAsia="黑体"/>
          <w:spacing w:val="-12"/>
          <w:sz w:val="32"/>
          <w:szCs w:val="32"/>
        </w:rPr>
        <w:t>四、水胺硫磷</w:t>
      </w:r>
    </w:p>
    <w:p>
      <w:pPr>
        <w:spacing w:line="59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水胺硫磷属于胆碱酯酶抑制剂，具有触杀和胃毒作用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是一种广谱性有机磷类杀虫、杀螨剂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兼有杀卵作用。水胺硫磷为高毒农药，禁止用于果、菜、烟、茶、中草药植物上。食用少量含有水胺硫磷的食品一般不会导致急性中毒，但长期食用水胺硫磷超标的食品，对人体健康有一定影响。《食品安全国家标准 食品中农药最大残留限量》（</w:t>
      </w:r>
      <w:r>
        <w:rPr>
          <w:rFonts w:ascii="Times New Roman" w:hAnsi="Times New Roman" w:eastAsia="仿宋_GB2312" w:cs="Times New Roman"/>
          <w:sz w:val="32"/>
          <w:szCs w:val="32"/>
        </w:rPr>
        <w:t>GB 2763</w:t>
      </w:r>
      <w:r>
        <w:rPr>
          <w:rFonts w:hint="eastAsia" w:eastAsia="仿宋_GB2312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2019</w:t>
      </w:r>
      <w:r>
        <w:rPr>
          <w:rFonts w:hint="eastAsia" w:eastAsia="仿宋_GB2312"/>
          <w:sz w:val="32"/>
          <w:szCs w:val="32"/>
        </w:rPr>
        <w:t>）中规定，水胺硫磷在茶叶中的最大残留限量值为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0.05mg/kg</w:t>
      </w:r>
      <w:r>
        <w:rPr>
          <w:rFonts w:hint="eastAsia" w:eastAsia="仿宋_GB2312"/>
          <w:sz w:val="32"/>
          <w:szCs w:val="32"/>
        </w:rPr>
        <w:t>。茶叶中水胺硫磷超标的原因，可能是茶农在种植环节违规使用该农药。</w:t>
      </w:r>
    </w:p>
    <w:p>
      <w:pPr>
        <w:numPr>
          <w:ilvl w:val="255"/>
          <w:numId w:val="0"/>
        </w:numPr>
        <w:spacing w:line="594" w:lineRule="exact"/>
        <w:ind w:firstLine="592" w:firstLineChars="200"/>
        <w:rPr>
          <w:rFonts w:ascii="Times New Roman" w:hAnsi="Times New Roman" w:eastAsia="黑体" w:cs="Times New Roman"/>
          <w:spacing w:val="-12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-12"/>
          <w:sz w:val="32"/>
          <w:szCs w:val="32"/>
        </w:rPr>
        <w:t>五</w:t>
      </w:r>
      <w:r>
        <w:rPr>
          <w:rFonts w:ascii="Times New Roman" w:hAnsi="Times New Roman" w:eastAsia="黑体" w:cs="Times New Roman"/>
          <w:spacing w:val="-12"/>
          <w:sz w:val="32"/>
          <w:szCs w:val="32"/>
        </w:rPr>
        <w:t>、恩诺沙星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恩诺沙星属第三代喹诺酮类药物，是一类人工合成的广谱抗菌药，用于治疗动物的皮肤感染、呼吸道感染等，是动物专属用药。长期食用恩诺沙星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残留</w:t>
      </w:r>
      <w:r>
        <w:rPr>
          <w:rFonts w:ascii="Times New Roman" w:hAnsi="Times New Roman" w:eastAsia="仿宋_GB2312" w:cs="Times New Roman"/>
          <w:sz w:val="32"/>
          <w:szCs w:val="32"/>
        </w:rPr>
        <w:t>超标的食品，可能在人体中蓄积，进而对人体机能产生危害，还可能使人体产生耐药性菌株。《食品安全国家标准 食品中兽药最大残留限量》（GB 31650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2019）中规定，恩诺沙星在家禽肌肉中最大残留限量值为100μg/kg。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鸡肉</w:t>
      </w:r>
      <w:r>
        <w:rPr>
          <w:rFonts w:ascii="Times New Roman" w:hAnsi="Times New Roman" w:eastAsia="仿宋_GB2312" w:cs="Times New Roman"/>
          <w:sz w:val="32"/>
          <w:szCs w:val="32"/>
        </w:rPr>
        <w:t>中恩诺沙星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残留量</w:t>
      </w:r>
      <w:r>
        <w:rPr>
          <w:rFonts w:ascii="Times New Roman" w:hAnsi="Times New Roman" w:eastAsia="仿宋_GB2312" w:cs="Times New Roman"/>
          <w:sz w:val="32"/>
          <w:szCs w:val="32"/>
        </w:rPr>
        <w:t>超标的原因，可能是在养殖过程中为快速控制疫病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违规加大用药量或不遵守休药期规定，致使</w:t>
      </w:r>
      <w:r>
        <w:rPr>
          <w:rFonts w:ascii="Times New Roman" w:hAnsi="Times New Roman" w:eastAsia="仿宋_GB2312"/>
          <w:sz w:val="32"/>
          <w:szCs w:val="32"/>
        </w:rPr>
        <w:t>上市销售产品</w:t>
      </w:r>
      <w:r>
        <w:rPr>
          <w:rFonts w:hint="eastAsia" w:ascii="Times New Roman" w:hAnsi="Times New Roman" w:eastAsia="仿宋_GB2312"/>
          <w:sz w:val="32"/>
          <w:szCs w:val="32"/>
        </w:rPr>
        <w:t>中的药物</w:t>
      </w:r>
      <w:r>
        <w:rPr>
          <w:rFonts w:ascii="Times New Roman" w:hAnsi="Times New Roman" w:eastAsia="仿宋_GB2312"/>
          <w:sz w:val="32"/>
          <w:szCs w:val="32"/>
        </w:rPr>
        <w:t>残留</w:t>
      </w:r>
      <w:r>
        <w:rPr>
          <w:rFonts w:hint="eastAsia" w:ascii="Times New Roman" w:hAnsi="Times New Roman" w:eastAsia="仿宋_GB2312"/>
          <w:sz w:val="32"/>
          <w:szCs w:val="32"/>
        </w:rPr>
        <w:t>量</w:t>
      </w:r>
      <w:r>
        <w:rPr>
          <w:rFonts w:ascii="Times New Roman" w:hAnsi="Times New Roman" w:eastAsia="仿宋_GB2312"/>
          <w:sz w:val="32"/>
          <w:szCs w:val="32"/>
        </w:rPr>
        <w:t>超标。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</w:t>
      </w: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苯甲酸</w:t>
      </w: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及其钠盐（以苯甲酸计）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苯甲酸及其钠盐是食品工业中常用的一种防腐剂，对霉菌、酵母和细菌有较好的抑制作用。长期食用苯甲酸及其钠盐超标的食品，可能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导致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肝脏积累性中毒，危害肝脏健康。《食品安全国家标准 食品添加剂使用标准》（GB 2760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2014）中规定，苯甲酸及其钠盐（以苯甲酸计）在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蜜饯凉果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最大使用限量为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0.5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g/kg。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蜜饯凉果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中苯甲酸及其钠盐（以苯甲酸计）检测值超标的原因，可能是生产企业为延长产品保质期，或者弥补产品生产过程卫生条件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不佳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而超限量使用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也可能是在使用过程中未准确计量。</w:t>
      </w:r>
    </w:p>
    <w:p>
      <w:pPr>
        <w:autoSpaceDE w:val="0"/>
        <w:adjustRightInd w:val="0"/>
        <w:snapToGrid w:val="0"/>
        <w:spacing w:line="594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4590138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3B7"/>
    <w:rsid w:val="00016756"/>
    <w:rsid w:val="00041622"/>
    <w:rsid w:val="000645E1"/>
    <w:rsid w:val="000F109C"/>
    <w:rsid w:val="00155C55"/>
    <w:rsid w:val="001D31C1"/>
    <w:rsid w:val="0021610C"/>
    <w:rsid w:val="00233EB3"/>
    <w:rsid w:val="00241307"/>
    <w:rsid w:val="002807A1"/>
    <w:rsid w:val="002A092C"/>
    <w:rsid w:val="002A61B4"/>
    <w:rsid w:val="002C4138"/>
    <w:rsid w:val="00310DD8"/>
    <w:rsid w:val="00344A10"/>
    <w:rsid w:val="003B6A75"/>
    <w:rsid w:val="003D7143"/>
    <w:rsid w:val="004014D9"/>
    <w:rsid w:val="00416AC4"/>
    <w:rsid w:val="0044071E"/>
    <w:rsid w:val="004604E1"/>
    <w:rsid w:val="00474FB4"/>
    <w:rsid w:val="00495202"/>
    <w:rsid w:val="00497D10"/>
    <w:rsid w:val="004B7CBD"/>
    <w:rsid w:val="004D165D"/>
    <w:rsid w:val="00501A15"/>
    <w:rsid w:val="00547CC3"/>
    <w:rsid w:val="00581CA2"/>
    <w:rsid w:val="005955ED"/>
    <w:rsid w:val="00654C6B"/>
    <w:rsid w:val="006F2069"/>
    <w:rsid w:val="00700EA9"/>
    <w:rsid w:val="00710782"/>
    <w:rsid w:val="007443F9"/>
    <w:rsid w:val="007641F8"/>
    <w:rsid w:val="007A2EF2"/>
    <w:rsid w:val="007A347E"/>
    <w:rsid w:val="007B05FC"/>
    <w:rsid w:val="007D296C"/>
    <w:rsid w:val="007D54E3"/>
    <w:rsid w:val="007F3B23"/>
    <w:rsid w:val="008E770D"/>
    <w:rsid w:val="00904C59"/>
    <w:rsid w:val="00906E93"/>
    <w:rsid w:val="00913736"/>
    <w:rsid w:val="009B5EB6"/>
    <w:rsid w:val="009E3E3E"/>
    <w:rsid w:val="00A13DCE"/>
    <w:rsid w:val="00A13E86"/>
    <w:rsid w:val="00A663B7"/>
    <w:rsid w:val="00AB5DA4"/>
    <w:rsid w:val="00AF30AA"/>
    <w:rsid w:val="00B17DCC"/>
    <w:rsid w:val="00B304B9"/>
    <w:rsid w:val="00B519F6"/>
    <w:rsid w:val="00BA2CD0"/>
    <w:rsid w:val="00BD5B62"/>
    <w:rsid w:val="00C17343"/>
    <w:rsid w:val="00C230DD"/>
    <w:rsid w:val="00C23294"/>
    <w:rsid w:val="00CF2E02"/>
    <w:rsid w:val="00D004EC"/>
    <w:rsid w:val="00D44B10"/>
    <w:rsid w:val="00D5205B"/>
    <w:rsid w:val="00DB3877"/>
    <w:rsid w:val="00E05F13"/>
    <w:rsid w:val="00E3441E"/>
    <w:rsid w:val="00E46D3A"/>
    <w:rsid w:val="00E47533"/>
    <w:rsid w:val="00E71EF5"/>
    <w:rsid w:val="00F30536"/>
    <w:rsid w:val="00F666D4"/>
    <w:rsid w:val="00FC091B"/>
    <w:rsid w:val="27663B84"/>
    <w:rsid w:val="3D305B42"/>
    <w:rsid w:val="505F4DCA"/>
    <w:rsid w:val="5C0675EB"/>
    <w:rsid w:val="63D152AA"/>
    <w:rsid w:val="6A86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2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link w:val="1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3"/>
    <w:semiHidden/>
    <w:qFormat/>
    <w:uiPriority w:val="99"/>
  </w:style>
  <w:style w:type="character" w:customStyle="1" w:styleId="12">
    <w:name w:val="正文文本首行缩进 2 字符"/>
    <w:basedOn w:val="11"/>
    <w:link w:val="2"/>
    <w:qFormat/>
    <w:uiPriority w:val="0"/>
    <w:rPr>
      <w:rFonts w:ascii="Calibri" w:hAnsi="Calibri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3</Pages>
  <Words>210</Words>
  <Characters>1199</Characters>
  <Lines>9</Lines>
  <Paragraphs>2</Paragraphs>
  <TotalTime>60</TotalTime>
  <ScaleCrop>false</ScaleCrop>
  <LinksUpToDate>false</LinksUpToDate>
  <CharactersWithSpaces>1407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2021-05-28T06:03:00Z</dcterms:created>
  <dc:creator>秘书处</dc:creator>
  <cp:lastModifiedBy>彭小婷</cp:lastModifiedBy>
  <dcterms:modified xsi:type="dcterms:W3CDTF">2021-07-30T01:51:40Z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