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94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部分不合格检验项目小知识</w:t>
      </w:r>
    </w:p>
    <w:p>
      <w:pPr>
        <w:spacing w:line="594" w:lineRule="exact"/>
        <w:ind w:firstLine="640" w:firstLineChars="200"/>
        <w:jc w:val="center"/>
        <w:rPr>
          <w:rFonts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黑体"/>
          <w:spacing w:val="0"/>
          <w:sz w:val="32"/>
          <w:szCs w:val="32"/>
        </w:rPr>
      </w:pPr>
      <w:r>
        <w:rPr>
          <w:rFonts w:hint="eastAsia" w:ascii="Times New Roman" w:hAnsi="Times New Roman" w:eastAsia="黑体"/>
          <w:spacing w:val="0"/>
          <w:sz w:val="32"/>
          <w:szCs w:val="32"/>
        </w:rPr>
        <w:t>一、</w:t>
      </w:r>
      <w:r>
        <w:rPr>
          <w:rFonts w:ascii="Times New Roman" w:hAnsi="Times New Roman" w:eastAsia="黑体"/>
          <w:spacing w:val="0"/>
          <w:sz w:val="32"/>
          <w:szCs w:val="32"/>
        </w:rPr>
        <w:t>菌落总数</w:t>
      </w:r>
    </w:p>
    <w:p>
      <w:pPr>
        <w:pStyle w:val="13"/>
        <w:spacing w:line="594" w:lineRule="exact"/>
        <w:ind w:firstLine="640"/>
        <w:rPr>
          <w:rFonts w:ascii="Times New Roman" w:hAnsi="Times New Roman" w:eastAsia="仿宋_GB2312"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ascii="Times New Roman" w:hAnsi="Times New Roman" w:eastAsia="仿宋_GB2312"/>
          <w:spacing w:val="0"/>
          <w:sz w:val="32"/>
          <w:szCs w:val="32"/>
        </w:rPr>
        <w:t>《食品安全国家标准 熟肉制品》（GB 2726</w:t>
      </w:r>
      <w:r>
        <w:rPr>
          <w:rFonts w:hint="eastAsia" w:eastAsia="仿宋_GB2312"/>
          <w:spacing w:val="0"/>
          <w:kern w:val="0"/>
          <w:sz w:val="32"/>
          <w:szCs w:val="32"/>
        </w:rPr>
        <w:t>—</w:t>
      </w:r>
      <w:r>
        <w:rPr>
          <w:rFonts w:ascii="Times New Roman" w:hAnsi="Times New Roman" w:eastAsia="仿宋_GB2312"/>
          <w:spacing w:val="0"/>
          <w:sz w:val="32"/>
          <w:szCs w:val="32"/>
        </w:rPr>
        <w:t>2016）中规定，熟肉制品（除发酵肉制品外）</w:t>
      </w:r>
      <w:r>
        <w:rPr>
          <w:rFonts w:hint="eastAsia" w:eastAsia="仿宋_GB2312"/>
          <w:spacing w:val="0"/>
          <w:sz w:val="32"/>
          <w:szCs w:val="32"/>
        </w:rPr>
        <w:t>同一批次产品</w:t>
      </w:r>
      <w:r>
        <w:rPr>
          <w:rFonts w:ascii="Times New Roman" w:hAnsi="Times New Roman" w:eastAsia="仿宋_GB2312"/>
          <w:spacing w:val="0"/>
          <w:sz w:val="32"/>
          <w:szCs w:val="32"/>
        </w:rPr>
        <w:t>5</w:t>
      </w:r>
      <w:r>
        <w:rPr>
          <w:rFonts w:hint="eastAsia" w:eastAsia="仿宋_GB2312"/>
          <w:spacing w:val="0"/>
          <w:sz w:val="32"/>
          <w:szCs w:val="32"/>
        </w:rPr>
        <w:t>个样品的菌落总数检测结果</w:t>
      </w:r>
      <w:r>
        <w:rPr>
          <w:rFonts w:ascii="Times New Roman" w:hAnsi="Times New Roman" w:eastAsia="仿宋_GB2312"/>
          <w:spacing w:val="0"/>
          <w:sz w:val="32"/>
          <w:szCs w:val="32"/>
        </w:rPr>
        <w:t>均不得超过10</w:t>
      </w:r>
      <w:r>
        <w:rPr>
          <w:rFonts w:ascii="Times New Roman" w:hAnsi="Times New Roman" w:eastAsia="仿宋_GB2312"/>
          <w:spacing w:val="0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pacing w:val="0"/>
          <w:sz w:val="32"/>
          <w:szCs w:val="32"/>
        </w:rPr>
        <w:t>CFU/g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，且最多允许2个样品的检测结果超过</w:t>
      </w:r>
      <w:r>
        <w:rPr>
          <w:rFonts w:ascii="Times New Roman" w:hAnsi="Times New Roman" w:eastAsia="仿宋_GB2312"/>
          <w:spacing w:val="0"/>
          <w:sz w:val="32"/>
          <w:szCs w:val="32"/>
        </w:rPr>
        <w:t>10</w:t>
      </w:r>
      <w:r>
        <w:rPr>
          <w:rFonts w:ascii="Times New Roman" w:hAnsi="Times New Roman" w:eastAsia="仿宋_GB2312"/>
          <w:spacing w:val="0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pacing w:val="0"/>
          <w:sz w:val="32"/>
          <w:szCs w:val="32"/>
        </w:rPr>
        <w:t>CFU/g。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酱卤肉制品中</w:t>
      </w:r>
      <w:r>
        <w:rPr>
          <w:rFonts w:ascii="Times New Roman" w:hAnsi="Times New Roman" w:eastAsia="仿宋_GB2312"/>
          <w:spacing w:val="0"/>
          <w:sz w:val="32"/>
          <w:szCs w:val="32"/>
        </w:rPr>
        <w:t>菌落总数超标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的原因，</w:t>
      </w:r>
      <w:r>
        <w:rPr>
          <w:rFonts w:ascii="Times New Roman" w:hAnsi="Times New Roman" w:eastAsia="仿宋_GB2312"/>
          <w:spacing w:val="0"/>
          <w:sz w:val="32"/>
          <w:szCs w:val="32"/>
        </w:rPr>
        <w:t>可能是企业未按要求严格控制生产加工过程的卫生条件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，也可能</w:t>
      </w:r>
      <w:r>
        <w:rPr>
          <w:rFonts w:ascii="Times New Roman" w:hAnsi="Times New Roman" w:eastAsia="仿宋_GB2312"/>
          <w:spacing w:val="0"/>
          <w:sz w:val="32"/>
          <w:szCs w:val="32"/>
        </w:rPr>
        <w:t>与产品包装密封不严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或</w:t>
      </w:r>
      <w:r>
        <w:rPr>
          <w:rFonts w:ascii="Times New Roman" w:hAnsi="Times New Roman" w:eastAsia="仿宋_GB2312"/>
          <w:spacing w:val="0"/>
          <w:sz w:val="32"/>
          <w:szCs w:val="32"/>
        </w:rPr>
        <w:t>储运条件不当等有关。</w:t>
      </w:r>
    </w:p>
    <w:p>
      <w:pPr>
        <w:spacing w:line="594" w:lineRule="exact"/>
        <w:ind w:firstLine="640" w:firstLineChars="200"/>
        <w:contextualSpacing/>
        <w:rPr>
          <w:rFonts w:ascii="黑体" w:hAnsi="黑体" w:eastAsia="黑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二、大肠菌群</w:t>
      </w:r>
    </w:p>
    <w:p>
      <w:pPr>
        <w:spacing w:line="594" w:lineRule="exact"/>
        <w:ind w:firstLine="640" w:firstLineChars="200"/>
        <w:contextualSpacing/>
        <w:rPr>
          <w:rFonts w:ascii="Times New Roman" w:hAnsi="Times New Roman" w:eastAsia="仿宋_GB2312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  <w:r>
        <w:rPr>
          <w:rFonts w:ascii="Times New Roman" w:hAnsi="Times New Roman" w:eastAsia="仿宋_GB2312"/>
          <w:spacing w:val="0"/>
          <w:sz w:val="32"/>
          <w:szCs w:val="32"/>
        </w:rPr>
        <w:t>《食品安全国家标准 熟肉制品》（GB 2726</w:t>
      </w:r>
      <w:r>
        <w:rPr>
          <w:rFonts w:hint="eastAsia" w:eastAsia="仿宋_GB2312"/>
          <w:spacing w:val="0"/>
          <w:kern w:val="0"/>
          <w:sz w:val="32"/>
          <w:szCs w:val="32"/>
        </w:rPr>
        <w:t>—</w:t>
      </w:r>
      <w:r>
        <w:rPr>
          <w:rFonts w:ascii="Times New Roman" w:hAnsi="Times New Roman" w:eastAsia="仿宋_GB2312"/>
          <w:spacing w:val="0"/>
          <w:sz w:val="32"/>
          <w:szCs w:val="32"/>
        </w:rPr>
        <w:t>2016）中规定，熟肉制品</w:t>
      </w:r>
      <w:r>
        <w:rPr>
          <w:rFonts w:hint="eastAsia" w:eastAsia="仿宋_GB2312"/>
          <w:spacing w:val="0"/>
          <w:sz w:val="32"/>
          <w:szCs w:val="32"/>
        </w:rPr>
        <w:t>同一批次产品</w:t>
      </w:r>
      <w:r>
        <w:rPr>
          <w:rFonts w:ascii="Times New Roman" w:hAnsi="Times New Roman" w:eastAsia="仿宋_GB2312"/>
          <w:spacing w:val="0"/>
          <w:sz w:val="32"/>
          <w:szCs w:val="32"/>
        </w:rPr>
        <w:t>5</w:t>
      </w:r>
      <w:r>
        <w:rPr>
          <w:rFonts w:hint="eastAsia" w:eastAsia="仿宋_GB2312"/>
          <w:spacing w:val="0"/>
          <w:sz w:val="32"/>
          <w:szCs w:val="32"/>
        </w:rPr>
        <w:t>个样品的大肠菌群检测结果均不得超过</w:t>
      </w:r>
      <w:r>
        <w:rPr>
          <w:rFonts w:ascii="Times New Roman" w:hAnsi="Times New Roman" w:eastAsia="仿宋_GB2312"/>
          <w:spacing w:val="0"/>
          <w:sz w:val="32"/>
          <w:szCs w:val="32"/>
        </w:rPr>
        <w:t>10</w:t>
      </w:r>
      <w:r>
        <w:rPr>
          <w:rFonts w:ascii="Times New Roman" w:hAnsi="Times New Roman" w:eastAsia="仿宋_GB2312"/>
          <w:spacing w:val="0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/>
          <w:spacing w:val="0"/>
          <w:sz w:val="32"/>
          <w:szCs w:val="32"/>
        </w:rPr>
        <w:t>CFU/g，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且最多允许2个样品的检测结果超过</w:t>
      </w:r>
      <w:r>
        <w:rPr>
          <w:rFonts w:ascii="Times New Roman" w:hAnsi="Times New Roman" w:eastAsia="仿宋_GB2312"/>
          <w:spacing w:val="0"/>
          <w:sz w:val="32"/>
          <w:szCs w:val="32"/>
        </w:rPr>
        <w:t>10CFU/g。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酱卤肉制品</w:t>
      </w:r>
      <w:r>
        <w:rPr>
          <w:rFonts w:ascii="Times New Roman" w:hAnsi="Times New Roman" w:eastAsia="仿宋_GB2312"/>
          <w:spacing w:val="0"/>
          <w:sz w:val="32"/>
          <w:szCs w:val="32"/>
        </w:rPr>
        <w:t>中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大肠菌群数</w:t>
      </w:r>
      <w:r>
        <w:rPr>
          <w:rFonts w:ascii="Times New Roman" w:hAnsi="Times New Roman" w:eastAsia="仿宋_GB2312"/>
          <w:spacing w:val="0"/>
          <w:sz w:val="32"/>
          <w:szCs w:val="32"/>
        </w:rPr>
        <w:t>超标的原因，</w:t>
      </w:r>
      <w:r>
        <w:rPr>
          <w:rFonts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可能是产品的加工原料、包装材料受污染，也可能是产品在生产过程中受人员、工器具等的污染，还可能是灭菌工艺灭菌不彻底导致的。</w:t>
      </w:r>
    </w:p>
    <w:p>
      <w:pPr>
        <w:spacing w:line="594" w:lineRule="exact"/>
        <w:ind w:firstLine="640" w:firstLineChars="200"/>
        <w:rPr>
          <w:rFonts w:eastAsia="黑体"/>
          <w:spacing w:val="0"/>
          <w:sz w:val="32"/>
          <w:szCs w:val="32"/>
        </w:rPr>
      </w:pPr>
      <w:r>
        <w:rPr>
          <w:rFonts w:hint="eastAsia" w:ascii="黑体" w:hAnsi="黑体" w:eastAsia="黑体" w:cs="Times New Roman"/>
          <w:spacing w:val="0"/>
          <w:sz w:val="32"/>
          <w:szCs w:val="32"/>
        </w:rPr>
        <w:t>三、</w:t>
      </w:r>
      <w:r>
        <w:rPr>
          <w:rFonts w:hint="eastAsia" w:ascii="Times New Roman" w:hAnsi="Times New Roman" w:eastAsia="黑体"/>
          <w:spacing w:val="0"/>
          <w:sz w:val="32"/>
          <w:szCs w:val="32"/>
        </w:rPr>
        <w:t>霉菌</w:t>
      </w:r>
    </w:p>
    <w:p>
      <w:pPr>
        <w:autoSpaceDE w:val="0"/>
        <w:spacing w:line="594" w:lineRule="exact"/>
        <w:ind w:firstLine="640" w:firstLineChars="200"/>
        <w:rPr>
          <w:rFonts w:ascii="Times New Roman" w:hAnsi="Times New Roman" w:eastAsia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/>
          <w:spacing w:val="0"/>
          <w:sz w:val="32"/>
          <w:szCs w:val="32"/>
        </w:rPr>
        <w:t>霉菌是评价食品卫生质量的指示性指标。食品中霉菌数是指食品检样经过处理，在一定条件下培养后，计数所得1g或1mL检样中所形成的霉菌菌落数。如果食品中的霉菌严重超标，将会破坏食品的营养成分，使食品失去食用价值，还可能产生霉菌毒素；长期食用霉菌超标的食品，可能会危害人体健康。《食品安全国家标准 糕点、面包》（GB 7099—2015）中规定，糕点食品样品霉菌最大限量值为150CFU/g。糕点食品中霉菌数超标的原因，可能是原料或包装材料受到霉菌污染，也可能是产品在生产加工过程中卫生条件控制不到位，还可能与产品储运条件不当有关。</w:t>
      </w:r>
    </w:p>
    <w:p>
      <w:pPr>
        <w:spacing w:line="594" w:lineRule="exact"/>
        <w:ind w:firstLine="640" w:firstLineChars="200"/>
        <w:rPr>
          <w:rFonts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四、克百威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/>
          <w:spacing w:val="0"/>
          <w:sz w:val="32"/>
          <w:szCs w:val="32"/>
        </w:rPr>
        <w:t>克百威又名呋喃丹，是氨基甲酸酯类农药中常见的一种杀虫剂。少量的残留不会引起人体急性中毒，但长期食用克百威超标的食品，对人体健康可能有一定影响。《食品安全国家标准 食品中农药最大残留限量》（GB 2763—2019）中规定，</w:t>
      </w:r>
      <w:r>
        <w:rPr>
          <w:rFonts w:hint="eastAsia" w:ascii="仿宋_GB2312" w:eastAsia="仿宋_GB2312"/>
          <w:spacing w:val="0"/>
          <w:sz w:val="32"/>
          <w:szCs w:val="32"/>
        </w:rPr>
        <w:t>克百威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在鳞茎类蔬菜中的最大残留限量值为</w:t>
      </w:r>
      <w:r>
        <w:rPr>
          <w:rFonts w:ascii="Times New Roman" w:hAnsi="Times New Roman" w:eastAsia="仿宋_GB2312"/>
          <w:spacing w:val="0"/>
          <w:sz w:val="32"/>
          <w:szCs w:val="32"/>
        </w:rPr>
        <w:t>0.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02mg/kg</w:t>
      </w:r>
      <w:r>
        <w:rPr>
          <w:rFonts w:hint="eastAsia" w:ascii="仿宋_GB2312" w:eastAsia="仿宋_GB2312"/>
          <w:spacing w:val="0"/>
          <w:sz w:val="32"/>
          <w:szCs w:val="32"/>
        </w:rPr>
        <w:t>。韭菜中克百威残留量超标的原因,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可能是为</w:t>
      </w:r>
      <w:r>
        <w:rPr>
          <w:rFonts w:ascii="Times New Roman" w:hAnsi="Times New Roman" w:eastAsia="仿宋_GB2312"/>
          <w:spacing w:val="0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虫害而违规使用</w:t>
      </w:r>
      <w:r>
        <w:rPr>
          <w:rFonts w:ascii="Times New Roman" w:hAnsi="Times New Roman" w:eastAsia="仿宋_GB2312"/>
          <w:spacing w:val="0"/>
          <w:sz w:val="32"/>
          <w:szCs w:val="32"/>
        </w:rPr>
        <w:t>。</w:t>
      </w:r>
    </w:p>
    <w:p>
      <w:pPr>
        <w:spacing w:line="594" w:lineRule="exact"/>
        <w:ind w:firstLine="640" w:firstLineChars="200"/>
        <w:contextualSpacing/>
        <w:rPr>
          <w:rFonts w:ascii="黑体" w:hAnsi="黑体" w:eastAsia="黑体" w:cs="Times New Roman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pacing w:val="0"/>
          <w:sz w:val="32"/>
          <w:szCs w:val="32"/>
          <w:lang w:eastAsia="zh-CN"/>
        </w:rPr>
        <w:t>五</w:t>
      </w:r>
      <w:r>
        <w:rPr>
          <w:rFonts w:ascii="黑体" w:hAnsi="黑体" w:eastAsia="黑体" w:cs="Times New Roman"/>
          <w:color w:val="000000"/>
          <w:spacing w:val="0"/>
          <w:sz w:val="32"/>
          <w:szCs w:val="32"/>
        </w:rPr>
        <w:t>、镉（以</w:t>
      </w:r>
      <w:r>
        <w:rPr>
          <w:rFonts w:ascii="Times New Roman" w:hAnsi="Times New Roman" w:eastAsia="黑体" w:cs="Times New Roman"/>
          <w:color w:val="000000"/>
          <w:spacing w:val="0"/>
          <w:sz w:val="32"/>
          <w:szCs w:val="32"/>
        </w:rPr>
        <w:t>Cd</w:t>
      </w:r>
      <w:r>
        <w:rPr>
          <w:rFonts w:ascii="黑体" w:hAnsi="黑体" w:eastAsia="黑体" w:cs="Times New Roman"/>
          <w:color w:val="000000"/>
          <w:spacing w:val="0"/>
          <w:sz w:val="32"/>
          <w:szCs w:val="32"/>
        </w:rPr>
        <w:t>计）</w:t>
      </w:r>
    </w:p>
    <w:p>
      <w:pPr>
        <w:pStyle w:val="2"/>
        <w:spacing w:after="0"/>
        <w:ind w:firstLine="640"/>
        <w:rPr>
          <w:spacing w:val="0"/>
        </w:rPr>
      </w:pPr>
      <w:r>
        <w:rPr>
          <w:rFonts w:ascii="Times New Roman" w:hAnsi="Times New Roman" w:eastAsia="仿宋_GB2312"/>
          <w:color w:val="000000"/>
          <w:spacing w:val="0"/>
          <w:szCs w:val="32"/>
        </w:rPr>
        <w:t>镉是一种蓄积性的重金属元素，可通过食物链进入人体。长期食用镉超标的食品，可能会对人体肾脏和肝脏造成损害，还会影响免疫系统，甚至可能对儿童高级神经活动有损害。《食品安全国家标准 食品中污染物限量》（GB 2762</w:t>
      </w:r>
      <w:r>
        <w:rPr>
          <w:rFonts w:hint="eastAsia" w:ascii="仿宋_GB2312" w:hAnsi="Times New Roman" w:eastAsia="仿宋_GB2312"/>
          <w:color w:val="000000"/>
          <w:spacing w:val="0"/>
          <w:szCs w:val="32"/>
        </w:rPr>
        <w:t>—</w:t>
      </w:r>
      <w:r>
        <w:rPr>
          <w:rFonts w:ascii="Times New Roman" w:hAnsi="Times New Roman" w:eastAsia="仿宋_GB2312"/>
          <w:color w:val="000000"/>
          <w:spacing w:val="0"/>
          <w:szCs w:val="32"/>
        </w:rPr>
        <w:t>2017）</w:t>
      </w:r>
      <w:r>
        <w:rPr>
          <w:rFonts w:hint="eastAsia" w:ascii="Times New Roman" w:hAnsi="Times New Roman" w:eastAsia="仿宋_GB2312"/>
          <w:color w:val="000000"/>
          <w:spacing w:val="0"/>
          <w:szCs w:val="32"/>
        </w:rPr>
        <w:t>中</w:t>
      </w:r>
      <w:r>
        <w:rPr>
          <w:rFonts w:ascii="Times New Roman" w:hAnsi="Times New Roman" w:eastAsia="仿宋_GB2312"/>
          <w:color w:val="000000"/>
          <w:spacing w:val="0"/>
          <w:szCs w:val="32"/>
        </w:rPr>
        <w:t>规定，镉</w:t>
      </w:r>
      <w:r>
        <w:rPr>
          <w:rFonts w:hint="eastAsia" w:ascii="仿宋_GB2312" w:eastAsia="仿宋_GB2312"/>
          <w:spacing w:val="0"/>
          <w:szCs w:val="32"/>
        </w:rPr>
        <w:t>（以</w:t>
      </w:r>
      <w:r>
        <w:rPr>
          <w:rFonts w:ascii="Times New Roman" w:hAnsi="Times New Roman" w:eastAsia="仿宋_GB2312"/>
          <w:spacing w:val="0"/>
          <w:szCs w:val="32"/>
        </w:rPr>
        <w:t>Cd</w:t>
      </w:r>
      <w:r>
        <w:rPr>
          <w:rFonts w:hint="eastAsia" w:ascii="仿宋_GB2312" w:eastAsia="仿宋_GB2312"/>
          <w:spacing w:val="0"/>
          <w:szCs w:val="32"/>
        </w:rPr>
        <w:t>计）</w:t>
      </w:r>
      <w:r>
        <w:rPr>
          <w:rFonts w:ascii="Times New Roman" w:hAnsi="Times New Roman" w:eastAsia="仿宋_GB2312"/>
          <w:color w:val="000000"/>
          <w:spacing w:val="0"/>
          <w:szCs w:val="32"/>
        </w:rPr>
        <w:t>在</w:t>
      </w:r>
      <w:r>
        <w:rPr>
          <w:rFonts w:hint="eastAsia" w:ascii="Times New Roman" w:hAnsi="Times New Roman" w:eastAsia="仿宋_GB2312"/>
          <w:color w:val="000000"/>
          <w:spacing w:val="0"/>
          <w:szCs w:val="32"/>
        </w:rPr>
        <w:t>鲜、冻水产动物（头足类）</w:t>
      </w:r>
      <w:r>
        <w:rPr>
          <w:rFonts w:ascii="Times New Roman" w:hAnsi="Times New Roman" w:eastAsia="仿宋_GB2312"/>
          <w:color w:val="000000"/>
          <w:spacing w:val="0"/>
          <w:szCs w:val="32"/>
        </w:rPr>
        <w:t>中的限量值为</w:t>
      </w:r>
      <w:r>
        <w:rPr>
          <w:rFonts w:hint="eastAsia" w:ascii="Times New Roman" w:hAnsi="Times New Roman" w:eastAsia="仿宋_GB2312"/>
          <w:color w:val="000000"/>
          <w:spacing w:val="0"/>
          <w:szCs w:val="32"/>
        </w:rPr>
        <w:t>2.0</w:t>
      </w:r>
      <w:r>
        <w:rPr>
          <w:rFonts w:ascii="Times New Roman" w:hAnsi="Times New Roman" w:eastAsia="仿宋_GB2312"/>
          <w:color w:val="000000"/>
          <w:spacing w:val="0"/>
          <w:szCs w:val="32"/>
        </w:rPr>
        <w:t>mg/kg。</w:t>
      </w:r>
      <w:r>
        <w:rPr>
          <w:rFonts w:hint="eastAsia" w:ascii="Times New Roman" w:hAnsi="Times New Roman" w:eastAsia="仿宋_GB2312"/>
          <w:color w:val="000000"/>
          <w:spacing w:val="0"/>
          <w:szCs w:val="32"/>
        </w:rPr>
        <w:t>鱿鱼</w:t>
      </w:r>
      <w:r>
        <w:rPr>
          <w:rFonts w:ascii="Times New Roman" w:hAnsi="Times New Roman" w:eastAsia="仿宋_GB2312"/>
          <w:color w:val="000000"/>
          <w:spacing w:val="0"/>
          <w:szCs w:val="32"/>
        </w:rPr>
        <w:t>中镉（以Cd计）</w:t>
      </w:r>
      <w:r>
        <w:rPr>
          <w:rFonts w:hint="eastAsia" w:ascii="Times New Roman" w:hAnsi="Times New Roman" w:eastAsia="仿宋_GB2312"/>
          <w:color w:val="000000"/>
          <w:spacing w:val="0"/>
          <w:szCs w:val="32"/>
        </w:rPr>
        <w:t>检测值</w:t>
      </w:r>
      <w:r>
        <w:rPr>
          <w:rFonts w:ascii="Times New Roman" w:hAnsi="Times New Roman" w:eastAsia="仿宋_GB2312"/>
          <w:color w:val="000000"/>
          <w:spacing w:val="0"/>
          <w:szCs w:val="32"/>
        </w:rPr>
        <w:t>超标的原因</w:t>
      </w:r>
      <w:r>
        <w:rPr>
          <w:rFonts w:hint="eastAsia" w:ascii="Times New Roman" w:hAnsi="Times New Roman" w:eastAsia="仿宋_GB2312"/>
          <w:color w:val="000000"/>
          <w:spacing w:val="0"/>
          <w:szCs w:val="32"/>
        </w:rPr>
        <w:t>，</w:t>
      </w:r>
      <w:r>
        <w:rPr>
          <w:rFonts w:ascii="Times New Roman" w:hAnsi="Times New Roman" w:eastAsia="仿宋_GB2312"/>
          <w:color w:val="000000"/>
          <w:spacing w:val="0"/>
          <w:szCs w:val="32"/>
        </w:rPr>
        <w:t>可能是其生长过程中富集环境中的镉元素。</w:t>
      </w:r>
    </w:p>
    <w:p>
      <w:pPr>
        <w:adjustRightInd w:val="0"/>
        <w:snapToGrid w:val="0"/>
        <w:spacing w:line="594" w:lineRule="exact"/>
        <w:ind w:firstLine="640" w:firstLineChars="200"/>
        <w:rPr>
          <w:rFonts w:eastAsia="黑体"/>
          <w:spacing w:val="0"/>
          <w:sz w:val="32"/>
          <w:szCs w:val="32"/>
        </w:rPr>
      </w:pPr>
      <w:r>
        <w:rPr>
          <w:rFonts w:hint="eastAsia" w:eastAsia="黑体"/>
          <w:spacing w:val="0"/>
          <w:sz w:val="32"/>
          <w:szCs w:val="32"/>
          <w:lang w:eastAsia="zh-CN"/>
        </w:rPr>
        <w:t>六</w:t>
      </w:r>
      <w:r>
        <w:rPr>
          <w:rFonts w:hint="eastAsia" w:eastAsia="黑体"/>
          <w:spacing w:val="0"/>
          <w:sz w:val="32"/>
          <w:szCs w:val="32"/>
        </w:rPr>
        <w:t>、</w:t>
      </w:r>
      <w:r>
        <w:rPr>
          <w:rFonts w:hint="eastAsia" w:ascii="黑体" w:hAnsi="黑体" w:eastAsia="黑体"/>
          <w:spacing w:val="0"/>
          <w:sz w:val="32"/>
          <w:szCs w:val="32"/>
        </w:rPr>
        <w:t>防腐剂混合使用时</w:t>
      </w:r>
      <w:r>
        <w:rPr>
          <w:rFonts w:ascii="黑体" w:hAnsi="黑体" w:eastAsia="黑体" w:cs="Times New Roman"/>
          <w:spacing w:val="0"/>
          <w:sz w:val="32"/>
          <w:szCs w:val="32"/>
        </w:rPr>
        <w:t>各自用量占其最大使用量的比例之和</w:t>
      </w:r>
    </w:p>
    <w:p>
      <w:pPr>
        <w:autoSpaceDE w:val="0"/>
        <w:spacing w:line="594" w:lineRule="exact"/>
        <w:ind w:firstLine="640" w:firstLineChars="200"/>
        <w:rPr>
          <w:rFonts w:ascii="Times New Roman" w:hAnsi="Times New Roman" w:eastAsia="仿宋_GB2312"/>
          <w:spacing w:val="0"/>
          <w:sz w:val="32"/>
          <w:szCs w:val="32"/>
        </w:rPr>
      </w:pPr>
      <w:r>
        <w:rPr>
          <w:rFonts w:ascii="Times New Roman" w:hAnsi="Times New Roman" w:eastAsia="仿宋_GB2312"/>
          <w:spacing w:val="0"/>
          <w:sz w:val="32"/>
          <w:szCs w:val="32"/>
        </w:rPr>
        <w:t>防腐剂是常见的食品添加剂，指天然或合成的化学成分，用于延缓或抑制由微生物引起的食品腐败变质。长期食用防腐剂超标的食品会对人体健康造成损害。《食品安全国家标准 食品添加剂使用标准》（GB 2760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—</w:t>
      </w:r>
      <w:r>
        <w:rPr>
          <w:rFonts w:ascii="Times New Roman" w:hAnsi="Times New Roman" w:eastAsia="仿宋_GB2312"/>
          <w:spacing w:val="0"/>
          <w:sz w:val="32"/>
          <w:szCs w:val="32"/>
        </w:rPr>
        <w:t>2014）中规定，防腐剂在混合使用时各自用量占其最大使用量的比例之和不应超过1。蜜饯中防腐剂混合使用时各自用量占其最大使用量的比例之和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检测值超</w:t>
      </w:r>
      <w:r>
        <w:rPr>
          <w:rFonts w:ascii="Times New Roman" w:hAnsi="Times New Roman" w:eastAsia="仿宋_GB2312"/>
          <w:spacing w:val="0"/>
          <w:sz w:val="32"/>
          <w:szCs w:val="32"/>
        </w:rPr>
        <w:t>标的原因，可能是生产企业在生产加工过程中未严格控制各防腐剂的用量。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590138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B7"/>
    <w:rsid w:val="00016756"/>
    <w:rsid w:val="00041622"/>
    <w:rsid w:val="000645E1"/>
    <w:rsid w:val="000F109C"/>
    <w:rsid w:val="00115CF7"/>
    <w:rsid w:val="00155C55"/>
    <w:rsid w:val="00165D84"/>
    <w:rsid w:val="001D31C1"/>
    <w:rsid w:val="0021610C"/>
    <w:rsid w:val="00233EB3"/>
    <w:rsid w:val="00241307"/>
    <w:rsid w:val="002807A1"/>
    <w:rsid w:val="002A092C"/>
    <w:rsid w:val="002A61B4"/>
    <w:rsid w:val="002C4138"/>
    <w:rsid w:val="00310DD8"/>
    <w:rsid w:val="00344A10"/>
    <w:rsid w:val="003A1921"/>
    <w:rsid w:val="003B6A75"/>
    <w:rsid w:val="003D7143"/>
    <w:rsid w:val="004014D9"/>
    <w:rsid w:val="00416AC4"/>
    <w:rsid w:val="0044071E"/>
    <w:rsid w:val="004604E1"/>
    <w:rsid w:val="00474FB4"/>
    <w:rsid w:val="00495202"/>
    <w:rsid w:val="00497D10"/>
    <w:rsid w:val="004B7CBD"/>
    <w:rsid w:val="004D165D"/>
    <w:rsid w:val="00501A15"/>
    <w:rsid w:val="00547CC3"/>
    <w:rsid w:val="00581CA2"/>
    <w:rsid w:val="00591526"/>
    <w:rsid w:val="005955ED"/>
    <w:rsid w:val="005F02E6"/>
    <w:rsid w:val="00654C6B"/>
    <w:rsid w:val="006F2069"/>
    <w:rsid w:val="00700EA9"/>
    <w:rsid w:val="00710782"/>
    <w:rsid w:val="007443F9"/>
    <w:rsid w:val="007641F8"/>
    <w:rsid w:val="007A2EF2"/>
    <w:rsid w:val="007A347E"/>
    <w:rsid w:val="007B05FC"/>
    <w:rsid w:val="007D296C"/>
    <w:rsid w:val="007D54E3"/>
    <w:rsid w:val="007F3B23"/>
    <w:rsid w:val="0080513C"/>
    <w:rsid w:val="008E770D"/>
    <w:rsid w:val="00904C59"/>
    <w:rsid w:val="00906E93"/>
    <w:rsid w:val="00913736"/>
    <w:rsid w:val="009B5EB6"/>
    <w:rsid w:val="009E3E3E"/>
    <w:rsid w:val="009F00FA"/>
    <w:rsid w:val="00A13DCE"/>
    <w:rsid w:val="00A13E86"/>
    <w:rsid w:val="00A663B7"/>
    <w:rsid w:val="00AB5DA4"/>
    <w:rsid w:val="00AF30AA"/>
    <w:rsid w:val="00B17DCC"/>
    <w:rsid w:val="00B304B9"/>
    <w:rsid w:val="00B519F6"/>
    <w:rsid w:val="00BA2CD0"/>
    <w:rsid w:val="00BD5B62"/>
    <w:rsid w:val="00BE5A25"/>
    <w:rsid w:val="00C17343"/>
    <w:rsid w:val="00C230DD"/>
    <w:rsid w:val="00C23294"/>
    <w:rsid w:val="00CF2E02"/>
    <w:rsid w:val="00D004EC"/>
    <w:rsid w:val="00D44B10"/>
    <w:rsid w:val="00D5205B"/>
    <w:rsid w:val="00DB3877"/>
    <w:rsid w:val="00E05F13"/>
    <w:rsid w:val="00E3441E"/>
    <w:rsid w:val="00E46D3A"/>
    <w:rsid w:val="00E47533"/>
    <w:rsid w:val="00E5597A"/>
    <w:rsid w:val="00E64952"/>
    <w:rsid w:val="00E71EF5"/>
    <w:rsid w:val="00EF1884"/>
    <w:rsid w:val="00F253DF"/>
    <w:rsid w:val="00F30536"/>
    <w:rsid w:val="00F32806"/>
    <w:rsid w:val="00F666D4"/>
    <w:rsid w:val="00FC091B"/>
    <w:rsid w:val="0FE32107"/>
    <w:rsid w:val="0FF32F52"/>
    <w:rsid w:val="28491F2F"/>
    <w:rsid w:val="2A507D11"/>
    <w:rsid w:val="3A87105F"/>
    <w:rsid w:val="3C0E73A6"/>
    <w:rsid w:val="3D305B42"/>
    <w:rsid w:val="505F4DCA"/>
    <w:rsid w:val="5C0675EB"/>
    <w:rsid w:val="6A867861"/>
    <w:rsid w:val="71127810"/>
    <w:rsid w:val="7D06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3"/>
    <w:semiHidden/>
    <w:qFormat/>
    <w:uiPriority w:val="99"/>
  </w:style>
  <w:style w:type="character" w:customStyle="1" w:styleId="12">
    <w:name w:val="正文文本首行缩进 2 字符"/>
    <w:basedOn w:val="11"/>
    <w:link w:val="2"/>
    <w:qFormat/>
    <w:uiPriority w:val="0"/>
    <w:rPr>
      <w:rFonts w:ascii="Calibri" w:hAnsi="Calibri" w:eastAsia="仿宋" w:cs="Times New Roman"/>
      <w:sz w:val="32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316</Words>
  <Characters>1807</Characters>
  <Lines>15</Lines>
  <Paragraphs>4</Paragraphs>
  <TotalTime>247</TotalTime>
  <ScaleCrop>false</ScaleCrop>
  <LinksUpToDate>false</LinksUpToDate>
  <CharactersWithSpaces>2119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2021-05-28T06:03:00Z</dcterms:created>
  <dc:creator>秘书处</dc:creator>
  <cp:lastModifiedBy>彭小婷</cp:lastModifiedBy>
  <dcterms:modified xsi:type="dcterms:W3CDTF">2021-08-05T06:18:25Z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