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部分不合格检验项目小知识</w:t>
      </w:r>
      <w:bookmarkEnd w:id="0"/>
    </w:p>
    <w:p>
      <w:pPr>
        <w:spacing w:line="594" w:lineRule="exact"/>
        <w:contextualSpacing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一、克百威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克百威又名呋喃丹，是氨基甲酸酯类农药中常见的一种杀虫剂。少量的残留不会引起人体急性中毒，但长期食用克百威残留超标的食品，对人体健康可能有一定影响。《食品安全国家标准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</w:rPr>
        <w:t>克百威</w:t>
      </w:r>
      <w:r>
        <w:rPr>
          <w:rFonts w:hint="eastAsia" w:ascii="Times New Roman" w:hAnsi="Times New Roman" w:eastAsia="仿宋_GB2312"/>
          <w:sz w:val="32"/>
          <w:szCs w:val="32"/>
        </w:rPr>
        <w:t>在豆类蔬菜中的最大残留限量值为</w:t>
      </w:r>
      <w:r>
        <w:rPr>
          <w:rFonts w:ascii="Times New Roman" w:hAnsi="Times New Roman" w:eastAsia="仿宋_GB2312"/>
          <w:sz w:val="32"/>
          <w:szCs w:val="32"/>
        </w:rPr>
        <w:t>0.</w:t>
      </w:r>
      <w:r>
        <w:rPr>
          <w:rFonts w:hint="eastAsia" w:ascii="Times New Roman" w:hAnsi="Times New Roman" w:eastAsia="仿宋_GB2312"/>
          <w:sz w:val="32"/>
          <w:szCs w:val="32"/>
        </w:rPr>
        <w:t>02mg/kg</w:t>
      </w:r>
      <w:r>
        <w:rPr>
          <w:rFonts w:hint="eastAsia" w:ascii="仿宋_GB2312" w:eastAsia="仿宋_GB2312"/>
          <w:sz w:val="32"/>
          <w:szCs w:val="32"/>
        </w:rPr>
        <w:t>。豇豆中克百威残留量超标的原因,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二、毒死蜱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毒死蜱是一种硫代磷酸酯类有机磷杀虫剂，具有良好的触杀、胃毒和熏蒸作用。少量的残留不会引起人体急性中毒，但长期食用毒死蜱</w:t>
      </w:r>
      <w:r>
        <w:rPr>
          <w:rFonts w:hint="eastAsia" w:ascii="Times New Roman" w:hAnsi="Times New Roman" w:eastAsia="仿宋_GB2312"/>
          <w:sz w:val="32"/>
          <w:szCs w:val="32"/>
        </w:rPr>
        <w:t>残留</w:t>
      </w:r>
      <w:r>
        <w:rPr>
          <w:rFonts w:ascii="Times New Roman" w:hAnsi="Times New Roman" w:eastAsia="仿宋_GB2312"/>
          <w:sz w:val="32"/>
          <w:szCs w:val="32"/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2019）中规定，毒死蜱在</w:t>
      </w:r>
      <w:r>
        <w:rPr>
          <w:rFonts w:hint="eastAsia" w:ascii="Times New Roman" w:hAnsi="Times New Roman" w:eastAsia="仿宋_GB2312"/>
          <w:sz w:val="32"/>
          <w:szCs w:val="32"/>
        </w:rPr>
        <w:t>韭菜</w:t>
      </w:r>
      <w:r>
        <w:rPr>
          <w:rFonts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</w:rPr>
        <w:t>韭菜中毒死蜱</w:t>
      </w:r>
      <w:r>
        <w:rPr>
          <w:rFonts w:hint="eastAsia" w:ascii="仿宋_GB2312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三、啶虫脒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啶虫脒是一种烟碱类杀虫剂，具有触杀、胃毒和内吸作用，对蚜虫等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</w:rPr>
        <w:t>啶虫脒残留</w:t>
      </w:r>
      <w:r>
        <w:rPr>
          <w:rFonts w:ascii="Times New Roman" w:hAnsi="Times New Roman" w:eastAsia="仿宋_GB2312"/>
          <w:sz w:val="32"/>
          <w:szCs w:val="32"/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</w:t>
      </w:r>
      <w:r>
        <w:rPr>
          <w:rFonts w:hint="eastAsia" w:ascii="Times New Roman" w:hAnsi="Times New Roman" w:eastAsia="仿宋_GB2312"/>
          <w:sz w:val="32"/>
          <w:szCs w:val="32"/>
        </w:rPr>
        <w:t>啶虫脒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普通白菜</w:t>
      </w:r>
      <w:r>
        <w:rPr>
          <w:rFonts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油菜（</w:t>
      </w:r>
      <w:r>
        <w:rPr>
          <w:rFonts w:hint="eastAsia" w:ascii="Times New Roman" w:hAnsi="Times New Roman" w:eastAsia="仿宋_GB2312"/>
          <w:sz w:val="32"/>
          <w:szCs w:val="32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中啶虫脒</w:t>
      </w:r>
      <w:r>
        <w:rPr>
          <w:rFonts w:hint="eastAsia" w:ascii="仿宋_GB2312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四、灭蝇胺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一种具有触杀功能的昆虫生长调节剂，</w:t>
      </w:r>
      <w:r>
        <w:rPr>
          <w:rFonts w:hint="eastAsia" w:ascii="Times New Roman" w:hAnsi="Times New Roman" w:eastAsia="仿宋_GB2312"/>
          <w:sz w:val="32"/>
          <w:szCs w:val="32"/>
        </w:rPr>
        <w:t>干扰蜕皮和蛹化，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美洲斑潜蝇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残留超标的食品，对人体健康可能有一定影响。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2019）中规定，灭蝇胺</w:t>
      </w:r>
      <w:r>
        <w:rPr>
          <w:rFonts w:hint="eastAsia" w:ascii="Times New Roman" w:hAnsi="Times New Roman" w:eastAsia="仿宋_GB2312"/>
          <w:sz w:val="32"/>
          <w:szCs w:val="32"/>
        </w:rPr>
        <w:t>在豇豆中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为0.5mg/kg。豇豆中灭蝇胺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可能是为保证豇豆收成和良好卖相，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</w:t>
      </w: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五</w:t>
      </w:r>
      <w:r>
        <w:rPr>
          <w:rFonts w:ascii="黑体" w:hAnsi="黑体" w:eastAsia="黑体" w:cs="Times New Roman"/>
          <w:spacing w:val="-12"/>
          <w:sz w:val="32"/>
          <w:szCs w:val="32"/>
        </w:rPr>
        <w:t>、</w:t>
      </w:r>
      <w:r>
        <w:rPr>
          <w:rFonts w:hint="eastAsia" w:ascii="黑体" w:hAnsi="黑体" w:eastAsia="黑体" w:cs="Times New Roman"/>
          <w:spacing w:val="-12"/>
          <w:sz w:val="32"/>
          <w:szCs w:val="32"/>
        </w:rPr>
        <w:t>脱氢乙酸及其钠盐(以脱氢乙酸计)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</w:rPr>
        <w:t>杂粮制品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不允许使用</w:t>
      </w:r>
      <w:r>
        <w:rPr>
          <w:rFonts w:ascii="Times New Roman" w:hAnsi="Times New Roman" w:eastAsia="仿宋_GB2312"/>
          <w:sz w:val="32"/>
          <w:szCs w:val="32"/>
        </w:rPr>
        <w:t>脱氢乙酸及其钠盐。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食品添加剂使用标准》（GB 2760—2014）中规定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糕点中脱氢乙酸及其钠盐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最大使用量为0.5g/kg。玉米面条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检出</w:t>
      </w:r>
      <w:r>
        <w:rPr>
          <w:rFonts w:ascii="Times New Roman" w:hAnsi="Times New Roman" w:eastAsia="仿宋_GB2312"/>
          <w:sz w:val="32"/>
          <w:szCs w:val="32"/>
        </w:rPr>
        <w:t>脱氢乙酸及其钠盐</w:t>
      </w:r>
      <w:r>
        <w:rPr>
          <w:rFonts w:hint="eastAsia" w:ascii="Times New Roman" w:hAnsi="Times New Roman" w:eastAsia="仿宋_GB2312"/>
          <w:sz w:val="32"/>
          <w:szCs w:val="32"/>
        </w:rPr>
        <w:t>（以脱氢乙酸计）</w:t>
      </w:r>
      <w:r>
        <w:rPr>
          <w:rFonts w:ascii="Times New Roman" w:hAnsi="Times New Roman" w:eastAsia="仿宋_GB2312"/>
          <w:sz w:val="32"/>
          <w:szCs w:val="32"/>
        </w:rPr>
        <w:t>的原因，可能是个别企业为防止食品腐败变质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超</w:t>
      </w:r>
      <w:r>
        <w:rPr>
          <w:rFonts w:hint="eastAsia" w:ascii="Times New Roman" w:hAnsi="Times New Roman" w:eastAsia="仿宋_GB2312"/>
          <w:sz w:val="32"/>
          <w:szCs w:val="32"/>
        </w:rPr>
        <w:t>范围</w:t>
      </w:r>
      <w:r>
        <w:rPr>
          <w:rFonts w:ascii="Times New Roman" w:hAnsi="Times New Roman" w:eastAsia="仿宋_GB2312"/>
          <w:sz w:val="32"/>
          <w:szCs w:val="32"/>
        </w:rPr>
        <w:t>使用了该添加剂。</w:t>
      </w:r>
      <w:r>
        <w:rPr>
          <w:rFonts w:hint="eastAsia" w:eastAsia="仿宋_GB2312"/>
          <w:sz w:val="32"/>
          <w:szCs w:val="32"/>
          <w:lang w:eastAsia="zh-CN"/>
        </w:rPr>
        <w:t>绿豆糕</w:t>
      </w:r>
      <w:r>
        <w:rPr>
          <w:rFonts w:hint="eastAsia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脱氢乙酸及其钠盐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检测值超标的原因，可能是生产企业为</w:t>
      </w:r>
      <w:r>
        <w:rPr>
          <w:rFonts w:hint="eastAsia" w:eastAsia="仿宋_GB2312"/>
          <w:sz w:val="32"/>
          <w:szCs w:val="32"/>
        </w:rPr>
        <w:t>防止食品腐败变质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超限量使用了该食品添加剂，也可能是其使用的复配添加剂中该添加剂含量较高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还可能是在添加过程中</w:t>
      </w:r>
      <w:r>
        <w:rPr>
          <w:rFonts w:ascii="Times New Roman" w:hAnsi="Times New Roman" w:eastAsia="仿宋_GB2312"/>
          <w:sz w:val="32"/>
          <w:szCs w:val="32"/>
        </w:rPr>
        <w:t>未</w:t>
      </w:r>
      <w:r>
        <w:rPr>
          <w:rFonts w:hint="eastAsia" w:ascii="Times New Roman" w:hAnsi="Times New Roman" w:eastAsia="仿宋_GB2312"/>
          <w:sz w:val="32"/>
          <w:szCs w:val="32"/>
        </w:rPr>
        <w:t>准确计量。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7"/>
    <w:rsid w:val="00016756"/>
    <w:rsid w:val="00041622"/>
    <w:rsid w:val="000645E1"/>
    <w:rsid w:val="000F109C"/>
    <w:rsid w:val="000F7B2E"/>
    <w:rsid w:val="00155C55"/>
    <w:rsid w:val="00165D84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A1921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6D4D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9F00FA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BE5A25"/>
    <w:rsid w:val="00C17343"/>
    <w:rsid w:val="00C230DD"/>
    <w:rsid w:val="00C23294"/>
    <w:rsid w:val="00C23F91"/>
    <w:rsid w:val="00CF2E02"/>
    <w:rsid w:val="00D004EC"/>
    <w:rsid w:val="00D44B10"/>
    <w:rsid w:val="00D5205B"/>
    <w:rsid w:val="00DB3877"/>
    <w:rsid w:val="00DB64D7"/>
    <w:rsid w:val="00E05F13"/>
    <w:rsid w:val="00E3441E"/>
    <w:rsid w:val="00E46D3A"/>
    <w:rsid w:val="00E47533"/>
    <w:rsid w:val="00E5597A"/>
    <w:rsid w:val="00E71EF5"/>
    <w:rsid w:val="00E759D8"/>
    <w:rsid w:val="00F253DF"/>
    <w:rsid w:val="00F30536"/>
    <w:rsid w:val="00F666D4"/>
    <w:rsid w:val="00FC091B"/>
    <w:rsid w:val="09C3194D"/>
    <w:rsid w:val="0CA75C62"/>
    <w:rsid w:val="128206A7"/>
    <w:rsid w:val="1B241E81"/>
    <w:rsid w:val="224636F4"/>
    <w:rsid w:val="35A0275D"/>
    <w:rsid w:val="3D305B42"/>
    <w:rsid w:val="505F4DCA"/>
    <w:rsid w:val="5C0675EB"/>
    <w:rsid w:val="6A867861"/>
    <w:rsid w:val="6DDB7772"/>
    <w:rsid w:val="6F1C1CF3"/>
    <w:rsid w:val="7BD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彭小婷</cp:lastModifiedBy>
  <dcterms:modified xsi:type="dcterms:W3CDTF">2021-08-20T09:47:44Z</dcterms:modified>
  <dc:title>附件1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