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部分不合格检验项目小知识</w:t>
      </w:r>
    </w:p>
    <w:p>
      <w:pPr>
        <w:spacing w:line="594" w:lineRule="exact"/>
        <w:ind w:firstLine="640" w:firstLineChars="200"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菌落总数</w:t>
      </w:r>
    </w:p>
    <w:p>
      <w:pPr>
        <w:pStyle w:val="13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</w:rPr>
        <w:t>《食品安全国家标准 熟肉制品》（GB 2726</w:t>
      </w:r>
      <w:r>
        <w:rPr>
          <w:rFonts w:hint="eastAsia" w:eastAsia="仿宋_GB2312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</w:t>
      </w:r>
      <w:r>
        <w:rPr>
          <w:rFonts w:hint="eastAsia" w:eastAsia="仿宋_GB2312"/>
          <w:sz w:val="32"/>
          <w:szCs w:val="32"/>
        </w:rPr>
        <w:t>同一批次产品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个样品的菌落总数检测结果</w:t>
      </w:r>
      <w:r>
        <w:rPr>
          <w:rFonts w:ascii="Times New Roman" w:hAnsi="Times New Roman" w:eastAsia="仿宋_GB2312"/>
          <w:sz w:val="32"/>
          <w:szCs w:val="32"/>
        </w:rPr>
        <w:t>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，且最多允许2个样品的检测结果超过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熏煮香肠火腿制品中</w:t>
      </w:r>
      <w:r>
        <w:rPr>
          <w:rFonts w:ascii="Times New Roman" w:hAnsi="Times New Roman" w:eastAsia="仿宋_GB231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</w:rPr>
        <w:t>，也可能</w:t>
      </w:r>
      <w:r>
        <w:rPr>
          <w:rFonts w:ascii="Times New Roman" w:hAnsi="Times New Roman" w:eastAsia="仿宋_GB2312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储运条件不当等有关。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二、地美硝唑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地美硝唑是硝基咪唑类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抗原虫药</w:t>
      </w:r>
      <w:r>
        <w:rPr>
          <w:rFonts w:hint="eastAsia" w:ascii="Times New Roman" w:hAnsi="Times New Roman" w:eastAsia="仿宋_GB2312"/>
          <w:sz w:val="32"/>
          <w:szCs w:val="32"/>
        </w:rPr>
        <w:t>，可用于治疗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禽组织滴虫病</w:t>
      </w:r>
      <w:r>
        <w:rPr>
          <w:rFonts w:hint="eastAsia" w:ascii="Times New Roman" w:hAnsi="Times New Roman" w:eastAsia="仿宋_GB2312"/>
          <w:sz w:val="32"/>
          <w:szCs w:val="32"/>
        </w:rPr>
        <w:t>等。长期大量食用检出地美硝唑的食品，可能在人体内蓄积，引起平衡失调以及肝肾功能损伤等。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食品中兽药最大残留限量》（GB 31650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2019）</w:t>
      </w:r>
      <w:r>
        <w:rPr>
          <w:rFonts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</w:rPr>
        <w:t>地美硝唑为允许作治疗用，但不得在动物性食品中检出的兽药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鸡蛋中检出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地美硝唑的原因，可能是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用药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治疗蛋鸡疾病导致地美硝唑在其体内残留，进而传递至鸡蛋中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三、克伦特罗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克伦特罗属于</w:t>
      </w:r>
      <w:r>
        <w:rPr>
          <w:rFonts w:ascii="Times New Roman" w:hAnsi="Times New Roman" w:eastAsia="仿宋_GB2312" w:cs="Times New Roman"/>
          <w:sz w:val="32"/>
          <w:szCs w:val="32"/>
        </w:rPr>
        <w:t>β-</w:t>
      </w:r>
      <w:r>
        <w:rPr>
          <w:rFonts w:hint="eastAsia" w:ascii="仿宋_GB2312" w:eastAsia="仿宋_GB2312"/>
          <w:sz w:val="32"/>
          <w:szCs w:val="32"/>
        </w:rPr>
        <w:t>兴奋剂类药物，可促进动物体蛋白质沉积、促进脂肪分解抑制脂肪沉积、提高瘦肉率和增重，因此被称为“瘦肉精”。长期食用检出克伦特罗的动物性食品，可能引起人体四肢、面、颈部骨骼肌震颤及心悸、心动过速、乏力、头痛、恶心、呼吸困难等。《食品中可能违法添加的非食用物质和易滥用的食品添加剂名单（第四批）》（整顿办函</w:t>
      </w:r>
      <w:r>
        <w:rPr>
          <w:rFonts w:ascii="Times New Roman" w:hAnsi="Times New Roman" w:eastAsia="仿宋_GB2312" w:cs="Times New Roman"/>
          <w:sz w:val="32"/>
          <w:szCs w:val="32"/>
        </w:rPr>
        <w:t>〔2010〕50号</w:t>
      </w:r>
      <w:r>
        <w:rPr>
          <w:rFonts w:hint="eastAsia" w:ascii="仿宋_GB2312" w:eastAsia="仿宋_GB2312"/>
          <w:sz w:val="32"/>
          <w:szCs w:val="32"/>
        </w:rPr>
        <w:t>）中规定，</w:t>
      </w:r>
      <w:r>
        <w:rPr>
          <w:rFonts w:ascii="Times New Roman" w:hAnsi="Times New Roman" w:eastAsia="仿宋_GB2312" w:cs="Times New Roman"/>
          <w:sz w:val="32"/>
          <w:szCs w:val="32"/>
        </w:rPr>
        <w:t>β-</w:t>
      </w:r>
      <w:r>
        <w:rPr>
          <w:rFonts w:hint="eastAsia" w:ascii="仿宋_GB2312" w:eastAsia="仿宋_GB2312"/>
          <w:sz w:val="32"/>
          <w:szCs w:val="32"/>
        </w:rPr>
        <w:t>兴奋剂类药物（盐酸克伦特罗、莱克多巴胺等）为食品中可能违法添加的非食用物质（在动物性食品中不得检出）。牛肉中检出克伦特罗的原因，可能是在养殖过程中为提高瘦肉率、增重和提高饲料转化率而违规使用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四、啶虫脒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啶虫脒是一种烟碱类杀虫剂，具有触杀、胃毒和内吸作用，对蚜虫等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</w:rPr>
        <w:t>啶虫脒残留</w:t>
      </w:r>
      <w:r>
        <w:rPr>
          <w:rFonts w:ascii="Times New Roman" w:hAnsi="Times New Roman" w:eastAsia="仿宋_GB2312"/>
          <w:sz w:val="32"/>
          <w:szCs w:val="32"/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</w:t>
      </w:r>
      <w:r>
        <w:rPr>
          <w:rFonts w:hint="eastAsia" w:ascii="Times New Roman" w:hAnsi="Times New Roman" w:eastAsia="仿宋_GB2312"/>
          <w:sz w:val="32"/>
          <w:szCs w:val="32"/>
        </w:rPr>
        <w:t>啶虫脒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荚可食豆类蔬菜（食荚豌豆除外）</w:t>
      </w:r>
      <w:r>
        <w:rPr>
          <w:rFonts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0.4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</w:rPr>
        <w:t>豇豆中啶虫脒</w:t>
      </w:r>
      <w:r>
        <w:rPr>
          <w:rFonts w:hint="eastAsia" w:ascii="仿宋_GB2312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五、灭蝇胺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一种具有触杀功能的昆虫生长调节剂，</w:t>
      </w:r>
      <w:r>
        <w:rPr>
          <w:rFonts w:hint="eastAsia" w:ascii="Times New Roman" w:hAnsi="Times New Roman" w:eastAsia="仿宋_GB2312"/>
          <w:sz w:val="32"/>
          <w:szCs w:val="32"/>
        </w:rPr>
        <w:t>干扰蜕皮和蛹化，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美洲斑潜蝇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</w:t>
      </w:r>
      <w:r>
        <w:rPr>
          <w:rFonts w:ascii="Times New Roman" w:hAnsi="Times New Roman" w:eastAsia="仿宋_GB2312"/>
          <w:sz w:val="32"/>
          <w:szCs w:val="32"/>
        </w:rPr>
        <w:t>灭蝇胺</w:t>
      </w:r>
      <w:r>
        <w:rPr>
          <w:rFonts w:hint="eastAsia" w:ascii="Times New Roman" w:hAnsi="Times New Roman" w:eastAsia="仿宋_GB2312"/>
          <w:sz w:val="32"/>
          <w:szCs w:val="32"/>
        </w:rPr>
        <w:t>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2019）中规定，灭蝇胺</w:t>
      </w:r>
      <w:r>
        <w:rPr>
          <w:rFonts w:hint="eastAsia" w:ascii="Times New Roman" w:hAnsi="Times New Roman" w:eastAsia="仿宋_GB2312"/>
          <w:sz w:val="32"/>
          <w:szCs w:val="32"/>
        </w:rPr>
        <w:t>在豇豆中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为0.5mg/kg。豇豆中灭蝇胺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可能是为保证豇豆收成和良好卖相，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contextualSpacing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、镉（以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Cd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规定，镉</w:t>
      </w:r>
      <w:r>
        <w:rPr>
          <w:rFonts w:hint="eastAsia" w:ascii="仿宋_GB2312" w:eastAsia="仿宋_GB2312"/>
          <w:sz w:val="32"/>
          <w:szCs w:val="32"/>
        </w:rPr>
        <w:t>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仿宋_GB2312" w:eastAsia="仿宋_GB2312"/>
          <w:sz w:val="32"/>
          <w:szCs w:val="32"/>
        </w:rPr>
        <w:t>计）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新鲜蔬菜（叶菜蔬菜、豆类蔬菜、块根和块茎蔬菜、茎类蔬菜、黄花菜除外）中的限量值为0.05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；在鲜、冻水产动物（甲壳类）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中的限量值为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茄子、海水虾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中镉（以Cd计）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检测值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超标的原因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可能是其生长过程中富集环境中的镉元素。</w:t>
      </w:r>
    </w:p>
    <w:p>
      <w:pPr>
        <w:spacing w:line="594" w:lineRule="exact"/>
        <w:ind w:firstLine="640" w:firstLineChars="200"/>
        <w:contextualSpacing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/>
          <w:sz w:val="32"/>
          <w:szCs w:val="32"/>
        </w:rPr>
        <w:t>过氧化值（以脂肪计）</w:t>
      </w:r>
    </w:p>
    <w:p>
      <w:pPr>
        <w:autoSpaceDE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过氧化值是油脂酸败的早期指标</w:t>
      </w:r>
      <w:r>
        <w:rPr>
          <w:rFonts w:hint="eastAsia" w:ascii="Times New Roman" w:hAnsi="Times New Roman" w:eastAsia="仿宋_GB2312"/>
          <w:sz w:val="32"/>
          <w:szCs w:val="32"/>
        </w:rPr>
        <w:t>，主要反映油脂被氧化的程度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食用过氧化值超标的食品</w:t>
      </w:r>
      <w:r>
        <w:rPr>
          <w:rFonts w:ascii="Times New Roman" w:hAnsi="Times New Roman" w:eastAsia="仿宋_GB2312"/>
          <w:sz w:val="32"/>
          <w:szCs w:val="32"/>
        </w:rPr>
        <w:t>一般不会对人体</w:t>
      </w:r>
      <w:r>
        <w:rPr>
          <w:rFonts w:hint="eastAsia" w:ascii="Times New Roman" w:hAnsi="Times New Roman" w:eastAsia="仿宋_GB2312"/>
          <w:sz w:val="32"/>
          <w:szCs w:val="32"/>
        </w:rPr>
        <w:t>健康造成</w:t>
      </w:r>
      <w:r>
        <w:rPr>
          <w:rFonts w:ascii="Times New Roman" w:hAnsi="Times New Roman" w:eastAsia="仿宋_GB2312"/>
          <w:sz w:val="32"/>
          <w:szCs w:val="32"/>
        </w:rPr>
        <w:t>损害，但</w:t>
      </w:r>
      <w:r>
        <w:rPr>
          <w:rFonts w:hint="eastAsia" w:ascii="Times New Roman" w:hAnsi="Times New Roman" w:eastAsia="仿宋_GB2312"/>
          <w:sz w:val="32"/>
          <w:szCs w:val="32"/>
        </w:rPr>
        <w:t>长期</w:t>
      </w:r>
      <w:r>
        <w:rPr>
          <w:rFonts w:ascii="Times New Roman" w:hAnsi="Times New Roman" w:eastAsia="仿宋_GB2312"/>
          <w:sz w:val="32"/>
          <w:szCs w:val="32"/>
        </w:rPr>
        <w:t>食用过氧化值严重超标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食品可能导致肠胃不适、腹泻等。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2014）中规定，炒货食品及坚果制品中熟制葵花籽过氧化值（以脂肪计）的最大限量值为0.80g/100</w:t>
      </w:r>
      <w:r>
        <w:rPr>
          <w:rFonts w:ascii="Times New Roman" w:hAnsi="Times New Roman" w:eastAsia="仿宋_GB2312"/>
          <w:sz w:val="32"/>
          <w:szCs w:val="32"/>
        </w:rPr>
        <w:t>g。</w:t>
      </w:r>
      <w:r>
        <w:rPr>
          <w:rFonts w:hint="eastAsia" w:ascii="Times New Roman" w:hAnsi="Times New Roman" w:eastAsia="仿宋_GB2312"/>
          <w:sz w:val="32"/>
          <w:szCs w:val="32"/>
        </w:rPr>
        <w:t>熟制葵花籽中过氧化值（以脂肪计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检测值超标的原因，可能是原料中的脂肪已经被氧化，也可能与产品在储运过程中环境条件控制不当等有关。</w:t>
      </w:r>
    </w:p>
    <w:p>
      <w:pPr>
        <w:pStyle w:val="2"/>
        <w:spacing w:line="594" w:lineRule="exact"/>
        <w:ind w:firstLine="64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7"/>
    <w:rsid w:val="00016756"/>
    <w:rsid w:val="00041622"/>
    <w:rsid w:val="000645E1"/>
    <w:rsid w:val="000F109C"/>
    <w:rsid w:val="000F7B2E"/>
    <w:rsid w:val="00155C55"/>
    <w:rsid w:val="00165D84"/>
    <w:rsid w:val="001B5DF9"/>
    <w:rsid w:val="001D31C1"/>
    <w:rsid w:val="0021610C"/>
    <w:rsid w:val="00233EB3"/>
    <w:rsid w:val="00241307"/>
    <w:rsid w:val="00275035"/>
    <w:rsid w:val="002807A1"/>
    <w:rsid w:val="002A092C"/>
    <w:rsid w:val="002A61B4"/>
    <w:rsid w:val="002C4138"/>
    <w:rsid w:val="00310DD8"/>
    <w:rsid w:val="00344A10"/>
    <w:rsid w:val="003A1921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6D4D"/>
    <w:rsid w:val="00547CC3"/>
    <w:rsid w:val="00581CA2"/>
    <w:rsid w:val="005955ED"/>
    <w:rsid w:val="005F4E30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33C54"/>
    <w:rsid w:val="008E770D"/>
    <w:rsid w:val="00904C59"/>
    <w:rsid w:val="00906E93"/>
    <w:rsid w:val="00913736"/>
    <w:rsid w:val="009B5EB6"/>
    <w:rsid w:val="009E3E3E"/>
    <w:rsid w:val="009F00FA"/>
    <w:rsid w:val="00A13DCE"/>
    <w:rsid w:val="00A13E86"/>
    <w:rsid w:val="00A663B7"/>
    <w:rsid w:val="00AB5DA4"/>
    <w:rsid w:val="00AF30AA"/>
    <w:rsid w:val="00B17DCC"/>
    <w:rsid w:val="00B304B9"/>
    <w:rsid w:val="00B519F6"/>
    <w:rsid w:val="00B6725E"/>
    <w:rsid w:val="00BA2CD0"/>
    <w:rsid w:val="00BD5B62"/>
    <w:rsid w:val="00BE5A25"/>
    <w:rsid w:val="00C17343"/>
    <w:rsid w:val="00C230DD"/>
    <w:rsid w:val="00C23294"/>
    <w:rsid w:val="00C23F91"/>
    <w:rsid w:val="00CF2E02"/>
    <w:rsid w:val="00D004EC"/>
    <w:rsid w:val="00D44B10"/>
    <w:rsid w:val="00D5205B"/>
    <w:rsid w:val="00DB3877"/>
    <w:rsid w:val="00DB64D7"/>
    <w:rsid w:val="00E05F13"/>
    <w:rsid w:val="00E3441E"/>
    <w:rsid w:val="00E46D3A"/>
    <w:rsid w:val="00E47533"/>
    <w:rsid w:val="00E50107"/>
    <w:rsid w:val="00E5597A"/>
    <w:rsid w:val="00E71EF5"/>
    <w:rsid w:val="00E759D8"/>
    <w:rsid w:val="00F253DF"/>
    <w:rsid w:val="00F30536"/>
    <w:rsid w:val="00F666D4"/>
    <w:rsid w:val="00FC091B"/>
    <w:rsid w:val="0CF535B2"/>
    <w:rsid w:val="1B241E81"/>
    <w:rsid w:val="349745FC"/>
    <w:rsid w:val="37AA3033"/>
    <w:rsid w:val="3D305B42"/>
    <w:rsid w:val="505F4DCA"/>
    <w:rsid w:val="57994B95"/>
    <w:rsid w:val="5C0675EB"/>
    <w:rsid w:val="6A867861"/>
    <w:rsid w:val="6AD263D1"/>
    <w:rsid w:val="724B4FC3"/>
    <w:rsid w:val="730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254</Words>
  <Characters>1448</Characters>
  <Lines>12</Lines>
  <Paragraphs>3</Paragraphs>
  <TotalTime>10</TotalTime>
  <ScaleCrop>false</ScaleCrop>
  <LinksUpToDate>false</LinksUpToDate>
  <CharactersWithSpaces>1699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赵爽</cp:lastModifiedBy>
  <dcterms:modified xsi:type="dcterms:W3CDTF">2021-08-27T02:24:43Z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