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rPr>
          <w:rFonts w:ascii="Times New Roman" w:hAnsi="Times New Roman" w:eastAsia="仿宋_GB2312"/>
          <w:sz w:val="32"/>
          <w:szCs w:val="32"/>
        </w:rPr>
      </w:pPr>
    </w:p>
    <w:p>
      <w:pPr>
        <w:spacing w:line="594" w:lineRule="exact"/>
        <w:ind w:firstLine="640" w:firstLineChars="200"/>
        <w:rPr>
          <w:rFonts w:eastAsia="黑体"/>
          <w:sz w:val="32"/>
          <w:szCs w:val="32"/>
        </w:rPr>
      </w:pPr>
      <w:r>
        <w:rPr>
          <w:rFonts w:hint="eastAsia" w:eastAsia="黑体"/>
          <w:sz w:val="32"/>
          <w:szCs w:val="32"/>
        </w:rPr>
        <w:t>一、</w:t>
      </w:r>
      <w:r>
        <w:rPr>
          <w:rFonts w:ascii="Times New Roman" w:hAnsi="Times New Roman" w:eastAsia="黑体"/>
          <w:sz w:val="32"/>
          <w:szCs w:val="32"/>
        </w:rPr>
        <w:t>N</w:t>
      </w:r>
      <w:r>
        <w:rPr>
          <w:rFonts w:hint="eastAsia" w:eastAsia="黑体"/>
          <w:sz w:val="32"/>
          <w:szCs w:val="32"/>
        </w:rPr>
        <w:t>-二甲基亚硝胺</w:t>
      </w:r>
    </w:p>
    <w:p>
      <w:pPr>
        <w:spacing w:line="594" w:lineRule="exact"/>
        <w:ind w:firstLine="640" w:firstLineChars="200"/>
        <w:rPr>
          <w:rFonts w:eastAsia="仿宋_GB2312"/>
          <w:sz w:val="32"/>
          <w:szCs w:val="32"/>
        </w:rPr>
      </w:pPr>
      <w:r>
        <w:rPr>
          <w:rFonts w:ascii="Times New Roman" w:hAnsi="Times New Roman" w:eastAsia="仿宋_GB2312"/>
          <w:sz w:val="32"/>
          <w:szCs w:val="32"/>
        </w:rPr>
        <w:t>N-二甲基亚硝胺是N-亚硝胺类化合物的一种，是国际公认的毒性较大的污染物，具有肝毒性和致癌性</w:t>
      </w:r>
      <w:r>
        <w:rPr>
          <w:rFonts w:hint="eastAsia" w:ascii="Times New Roman" w:hAnsi="Times New Roman" w:eastAsia="仿宋_GB2312"/>
          <w:sz w:val="32"/>
          <w:szCs w:val="32"/>
        </w:rPr>
        <w:t>。</w:t>
      </w:r>
      <w:r>
        <w:rPr>
          <w:rFonts w:ascii="Times New Roman" w:hAnsi="Times New Roman" w:eastAsia="仿宋_GB2312"/>
          <w:sz w:val="32"/>
          <w:szCs w:val="32"/>
        </w:rPr>
        <w:t>目前由N-二甲基亚硝胺引起的急性中毒较少，但如果一次或多次摄入含大量N-亚硝胺类化合物的食物，也可能引起急性中毒。《食品安全国家标准</w:t>
      </w:r>
      <w:r>
        <w:rPr>
          <w:rFonts w:hint="eastAsia" w:ascii="Times New Roman" w:hAnsi="Times New Roman" w:eastAsia="仿宋_GB2312"/>
          <w:sz w:val="32"/>
          <w:szCs w:val="32"/>
        </w:rPr>
        <w:t xml:space="preserve"> </w:t>
      </w:r>
      <w:r>
        <w:rPr>
          <w:rFonts w:ascii="Times New Roman" w:hAnsi="Times New Roman" w:eastAsia="仿宋_GB2312"/>
          <w:sz w:val="32"/>
          <w:szCs w:val="32"/>
        </w:rPr>
        <w:t>食品中污染物限量》（GB 2762</w:t>
      </w:r>
      <w:r>
        <w:rPr>
          <w:rFonts w:hint="eastAsia" w:ascii="Times New Roman" w:hAnsi="Times New Roman" w:eastAsia="仿宋_GB2312"/>
          <w:sz w:val="32"/>
          <w:szCs w:val="32"/>
        </w:rPr>
        <w:t>—</w:t>
      </w:r>
      <w:r>
        <w:rPr>
          <w:rFonts w:ascii="Times New Roman" w:hAnsi="Times New Roman" w:eastAsia="仿宋_GB2312"/>
          <w:sz w:val="32"/>
          <w:szCs w:val="32"/>
        </w:rPr>
        <w:t>2017）中规定，N-二甲基亚硝胺在水产制品（水产品罐头除外）中的最大限量值为4.0μg/kg。熟制动物性水产制品中N-二甲基亚硝胺</w:t>
      </w:r>
      <w:r>
        <w:rPr>
          <w:rFonts w:hint="eastAsia" w:ascii="Times New Roman" w:hAnsi="Times New Roman" w:eastAsia="仿宋_GB2312"/>
          <w:sz w:val="32"/>
          <w:szCs w:val="32"/>
        </w:rPr>
        <w:t>检测值</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可能是产品原料腐败所致或加工过程中污染所致。</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二、镉（以Cd计）</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000000"/>
          <w:sz w:val="32"/>
          <w:szCs w:val="32"/>
        </w:rPr>
        <w:t>镉是一种蓄积性的重金属元素，可通过食物链进入人体。长期食用镉超标的食品，可能会对人体肾脏和肝脏造成损害，还会影响免疫系统，甚至可能对儿童高级神经活动有损害。《食品安全国家标准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食品中污染物限量》（GB 2762</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2017）</w:t>
      </w:r>
      <w:r>
        <w:rPr>
          <w:rFonts w:hint="eastAsia" w:ascii="Times New Roman" w:hAnsi="Times New Roman" w:eastAsia="仿宋_GB2312" w:cs="Times New Roman"/>
          <w:color w:val="000000"/>
          <w:sz w:val="32"/>
          <w:szCs w:val="32"/>
        </w:rPr>
        <w:t>中</w:t>
      </w:r>
      <w:r>
        <w:rPr>
          <w:rFonts w:ascii="Times New Roman" w:hAnsi="Times New Roman" w:eastAsia="仿宋_GB2312" w:cs="Times New Roman"/>
          <w:color w:val="000000"/>
          <w:sz w:val="32"/>
          <w:szCs w:val="32"/>
        </w:rPr>
        <w:t>规定，镉</w:t>
      </w:r>
      <w:r>
        <w:rPr>
          <w:rFonts w:hint="eastAsia" w:ascii="仿宋_GB2312" w:eastAsia="仿宋_GB2312"/>
          <w:sz w:val="32"/>
          <w:szCs w:val="32"/>
        </w:rPr>
        <w:t>（以</w:t>
      </w:r>
      <w:r>
        <w:rPr>
          <w:rFonts w:ascii="Times New Roman" w:hAnsi="Times New Roman" w:eastAsia="仿宋_GB2312"/>
          <w:sz w:val="32"/>
          <w:szCs w:val="32"/>
        </w:rPr>
        <w:t>Cd</w:t>
      </w:r>
      <w:r>
        <w:rPr>
          <w:rFonts w:hint="eastAsia" w:ascii="仿宋_GB2312" w:eastAsia="仿宋_GB2312"/>
          <w:sz w:val="32"/>
          <w:szCs w:val="32"/>
        </w:rPr>
        <w:t>计）</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新鲜蔬菜（叶菜蔬菜、豆类蔬菜、块根和块茎蔬菜、茎类蔬菜、黄花菜除外）中的限量值为0.05</w:t>
      </w:r>
      <w:r>
        <w:rPr>
          <w:rFonts w:ascii="Times New Roman" w:hAnsi="Times New Roman" w:eastAsia="仿宋_GB2312" w:cs="Times New Roman"/>
          <w:color w:val="000000"/>
          <w:sz w:val="32"/>
          <w:szCs w:val="32"/>
        </w:rPr>
        <w:t>mg/kg。</w:t>
      </w:r>
      <w:r>
        <w:rPr>
          <w:rFonts w:hint="eastAsia" w:ascii="Times New Roman" w:hAnsi="Times New Roman" w:eastAsia="仿宋_GB2312" w:cs="Times New Roman"/>
          <w:color w:val="000000"/>
          <w:sz w:val="32"/>
          <w:szCs w:val="32"/>
        </w:rPr>
        <w:t>辣椒</w:t>
      </w:r>
      <w:r>
        <w:rPr>
          <w:rFonts w:ascii="Times New Roman" w:hAnsi="Times New Roman" w:eastAsia="仿宋_GB2312" w:cs="Times New Roman"/>
          <w:color w:val="000000"/>
          <w:sz w:val="32"/>
          <w:szCs w:val="32"/>
        </w:rPr>
        <w:t>中镉（以Cd计）</w:t>
      </w:r>
      <w:r>
        <w:rPr>
          <w:rFonts w:hint="eastAsia" w:ascii="Times New Roman" w:hAnsi="Times New Roman" w:eastAsia="仿宋_GB2312" w:cs="Times New Roman"/>
          <w:color w:val="000000"/>
          <w:sz w:val="32"/>
          <w:szCs w:val="32"/>
        </w:rPr>
        <w:t>检测值</w:t>
      </w:r>
      <w:r>
        <w:rPr>
          <w:rFonts w:ascii="Times New Roman" w:hAnsi="Times New Roman" w:eastAsia="仿宋_GB2312" w:cs="Times New Roman"/>
          <w:color w:val="000000"/>
          <w:sz w:val="32"/>
          <w:szCs w:val="32"/>
        </w:rPr>
        <w:t>超标的原因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可能是</w:t>
      </w:r>
      <w:r>
        <w:rPr>
          <w:rFonts w:hint="eastAsia" w:ascii="Times New Roman" w:hAnsi="Times New Roman" w:eastAsia="仿宋_GB2312" w:cs="Times New Roman"/>
          <w:color w:val="000000"/>
          <w:sz w:val="32"/>
          <w:szCs w:val="32"/>
          <w:lang w:eastAsia="zh-CN"/>
        </w:rPr>
        <w:t>在</w:t>
      </w:r>
      <w:r>
        <w:rPr>
          <w:rFonts w:ascii="Times New Roman" w:hAnsi="Times New Roman" w:eastAsia="仿宋_GB2312" w:cs="Times New Roman"/>
          <w:color w:val="000000"/>
          <w:sz w:val="32"/>
          <w:szCs w:val="32"/>
        </w:rPr>
        <w:t>其生长过程中富集</w:t>
      </w:r>
      <w:r>
        <w:rPr>
          <w:rFonts w:hint="eastAsia" w:ascii="Times New Roman" w:hAnsi="Times New Roman" w:eastAsia="仿宋_GB2312" w:cs="Times New Roman"/>
          <w:color w:val="000000"/>
          <w:sz w:val="32"/>
          <w:szCs w:val="32"/>
          <w:lang w:eastAsia="zh-CN"/>
        </w:rPr>
        <w:t>了土壤</w:t>
      </w:r>
      <w:r>
        <w:rPr>
          <w:rFonts w:ascii="Times New Roman" w:hAnsi="Times New Roman" w:eastAsia="仿宋_GB2312" w:cs="Times New Roman"/>
          <w:color w:val="000000"/>
          <w:sz w:val="32"/>
          <w:szCs w:val="32"/>
        </w:rPr>
        <w:t>中的镉。</w:t>
      </w:r>
    </w:p>
    <w:p>
      <w:pPr>
        <w:spacing w:line="594" w:lineRule="exact"/>
        <w:ind w:firstLine="640" w:firstLineChars="200"/>
        <w:rPr>
          <w:rFonts w:eastAsia="黑体"/>
          <w:color w:val="000000"/>
          <w:sz w:val="32"/>
          <w:szCs w:val="32"/>
        </w:rPr>
      </w:pPr>
      <w:r>
        <w:rPr>
          <w:rFonts w:hint="eastAsia" w:ascii="Times New Roman" w:hAnsi="Times New Roman" w:eastAsia="黑体" w:cs="Times New Roman"/>
          <w:color w:val="000000"/>
          <w:sz w:val="32"/>
          <w:szCs w:val="32"/>
        </w:rPr>
        <w:t>三、山梨</w:t>
      </w:r>
      <w:r>
        <w:rPr>
          <w:rFonts w:hint="eastAsia" w:ascii="Times New Roman" w:hAnsi="Times New Roman" w:eastAsia="黑体"/>
          <w:color w:val="000000"/>
          <w:sz w:val="32"/>
          <w:szCs w:val="32"/>
        </w:rPr>
        <w:t>酸及其钾盐（以山梨酸计）</w:t>
      </w:r>
    </w:p>
    <w:p>
      <w:pPr>
        <w:pStyle w:val="5"/>
        <w:autoSpaceDE w:val="0"/>
        <w:spacing w:line="594" w:lineRule="exact"/>
        <w:ind w:firstLine="640"/>
        <w:rPr>
          <w:rFonts w:eastAsia="仿宋_GB2312"/>
          <w:sz w:val="32"/>
          <w:szCs w:val="32"/>
        </w:rPr>
      </w:pPr>
      <w:r>
        <w:rPr>
          <w:rFonts w:ascii="Times New Roman" w:hAnsi="Times New Roman" w:eastAsia="仿宋_GB2312"/>
          <w:sz w:val="32"/>
          <w:szCs w:val="32"/>
        </w:rPr>
        <w:t>山梨酸及其钾盐抗菌性强，防腐效果好，是目前应用非常广泛的食品防腐剂。长期食用山梨酸及其钾盐超标的食品，可能对肝脏、肾脏、骨骼生长造成危害。</w:t>
      </w:r>
      <w:r>
        <w:rPr>
          <w:rFonts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rPr>
        <w:t xml:space="preserve"> </w:t>
      </w:r>
      <w:r>
        <w:rPr>
          <w:rFonts w:ascii="Times New Roman" w:hAnsi="Times New Roman" w:eastAsia="仿宋_GB2312"/>
          <w:sz w:val="32"/>
          <w:szCs w:val="32"/>
          <w:highlight w:val="none"/>
        </w:rPr>
        <w:t>食品添加剂使用标准》（GB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2014）中规定，</w:t>
      </w:r>
      <w:r>
        <w:rPr>
          <w:rFonts w:hint="eastAsia" w:eastAsia="仿宋_GB2312"/>
          <w:sz w:val="32"/>
          <w:szCs w:val="32"/>
          <w:highlight w:val="none"/>
        </w:rPr>
        <w:t>山梨酸及其钾盐（以山梨酸计）在</w:t>
      </w:r>
      <w:r>
        <w:rPr>
          <w:rFonts w:hint="eastAsia" w:ascii="Times New Roman" w:hAnsi="Times New Roman" w:eastAsia="仿宋_GB2312"/>
          <w:sz w:val="32"/>
          <w:szCs w:val="32"/>
          <w:highlight w:val="none"/>
        </w:rPr>
        <w:t>盐渍水产品</w:t>
      </w:r>
      <w:r>
        <w:rPr>
          <w:rFonts w:hint="eastAsia" w:eastAsia="仿宋_GB2312"/>
          <w:sz w:val="32"/>
          <w:szCs w:val="32"/>
          <w:highlight w:val="none"/>
        </w:rPr>
        <w:t>中的</w:t>
      </w:r>
      <w:r>
        <w:rPr>
          <w:rFonts w:hint="eastAsia" w:ascii="Times New Roman" w:hAnsi="Times New Roman" w:eastAsia="仿宋_GB2312"/>
          <w:sz w:val="32"/>
          <w:szCs w:val="32"/>
          <w:highlight w:val="none"/>
        </w:rPr>
        <w:t>最大使用量为0.075g/kg</w:t>
      </w:r>
      <w:r>
        <w:rPr>
          <w:rFonts w:ascii="Times New Roman" w:hAnsi="Times New Roman" w:eastAsia="仿宋_GB2312"/>
          <w:sz w:val="32"/>
          <w:szCs w:val="32"/>
          <w:highlight w:val="none"/>
        </w:rPr>
        <w:t>。</w:t>
      </w:r>
      <w:r>
        <w:rPr>
          <w:rFonts w:hint="eastAsia" w:ascii="Times New Roman" w:hAnsi="Times New Roman" w:eastAsia="仿宋_GB2312"/>
          <w:sz w:val="32"/>
          <w:szCs w:val="32"/>
        </w:rPr>
        <w:t>盐渍水产品</w:t>
      </w:r>
      <w:r>
        <w:rPr>
          <w:rFonts w:hint="eastAsia" w:eastAsia="仿宋_GB2312"/>
          <w:sz w:val="32"/>
          <w:szCs w:val="32"/>
        </w:rPr>
        <w:t>中</w:t>
      </w:r>
      <w:r>
        <w:rPr>
          <w:rFonts w:ascii="Times New Roman" w:hAnsi="Times New Roman" w:eastAsia="仿宋_GB2312"/>
          <w:sz w:val="32"/>
          <w:szCs w:val="32"/>
        </w:rPr>
        <w:t>山梨酸及其钾盐</w:t>
      </w:r>
      <w:r>
        <w:rPr>
          <w:rFonts w:hint="eastAsia" w:ascii="Times New Roman" w:hAnsi="Times New Roman" w:eastAsia="仿宋_GB2312"/>
          <w:sz w:val="32"/>
          <w:szCs w:val="32"/>
        </w:rPr>
        <w:t>（以山梨酸计）</w:t>
      </w:r>
      <w:r>
        <w:rPr>
          <w:rFonts w:hint="eastAsia" w:eastAsia="仿宋_GB2312"/>
          <w:sz w:val="32"/>
          <w:szCs w:val="32"/>
        </w:rPr>
        <w:t>超标</w:t>
      </w:r>
      <w:r>
        <w:rPr>
          <w:rFonts w:ascii="Times New Roman" w:hAnsi="Times New Roman" w:eastAsia="仿宋_GB2312"/>
          <w:sz w:val="32"/>
          <w:szCs w:val="32"/>
        </w:rPr>
        <w:t>的原因，可能是企业为</w:t>
      </w:r>
      <w:r>
        <w:rPr>
          <w:rFonts w:hint="eastAsia" w:ascii="Times New Roman" w:hAnsi="Times New Roman" w:eastAsia="仿宋_GB2312"/>
          <w:sz w:val="32"/>
          <w:szCs w:val="32"/>
        </w:rPr>
        <w:t>延长</w:t>
      </w:r>
      <w:r>
        <w:rPr>
          <w:rFonts w:ascii="Times New Roman" w:hAnsi="Times New Roman" w:eastAsia="仿宋_GB2312"/>
          <w:sz w:val="32"/>
          <w:szCs w:val="32"/>
        </w:rPr>
        <w:t>产品保质期或者弥补产品生产过程</w:t>
      </w:r>
      <w:r>
        <w:rPr>
          <w:rFonts w:hint="eastAsia" w:ascii="Times New Roman" w:hAnsi="Times New Roman" w:eastAsia="仿宋_GB2312"/>
          <w:sz w:val="32"/>
          <w:szCs w:val="32"/>
        </w:rPr>
        <w:t>中</w:t>
      </w:r>
      <w:r>
        <w:rPr>
          <w:rFonts w:ascii="Times New Roman" w:hAnsi="Times New Roman" w:eastAsia="仿宋_GB2312"/>
          <w:sz w:val="32"/>
          <w:szCs w:val="32"/>
        </w:rPr>
        <w:t>卫生条件不佳</w:t>
      </w:r>
      <w:r>
        <w:rPr>
          <w:rFonts w:hint="eastAsia" w:ascii="Times New Roman" w:hAnsi="Times New Roman" w:eastAsia="仿宋_GB2312"/>
          <w:sz w:val="32"/>
          <w:szCs w:val="32"/>
        </w:rPr>
        <w:t>而超限量使用，也可能是在使用过程中未准确计量。</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四、亮蓝</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亮蓝又名食用蓝色2号，水溶性非偶氮类化合物，是常见的人工合成着色剂，在食品生产中应用广泛。如果长期摄入亮蓝超标的食品，存在致畸、致癌的可能性。《食品安全国家标准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2014）中规定，凉果类</w:t>
      </w:r>
      <w:r>
        <w:rPr>
          <w:rFonts w:hint="eastAsia" w:ascii="Times New Roman" w:hAnsi="Times New Roman" w:eastAsia="仿宋_GB2312" w:cs="Times New Roman"/>
          <w:color w:val="000000"/>
          <w:sz w:val="32"/>
          <w:szCs w:val="32"/>
        </w:rPr>
        <w:t>蜜饯</w:t>
      </w:r>
      <w:r>
        <w:rPr>
          <w:rFonts w:ascii="Times New Roman" w:hAnsi="Times New Roman" w:eastAsia="仿宋_GB2312" w:cs="Times New Roman"/>
          <w:color w:val="000000"/>
          <w:sz w:val="32"/>
          <w:szCs w:val="32"/>
        </w:rPr>
        <w:t>中亮蓝的最大使用量为0.025g/kg。</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中亮蓝检测值超标的原因，可能是生产过程中计量不准导致终产品亮蓝超标，也可能是生产企业为改善产品色泽、提高市场价值而过量使用。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、苋菜红</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苋菜红又名蓝光酸性红，偶氮类化合物，是常见的人工合成着色剂，在食品生产中应用广泛。如果长期摄入苋菜红超标的食品，存在致畸、致癌的可能性。《食品安全国家标准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w:t>
      </w:r>
      <w:bookmarkStart w:id="0" w:name="_GoBack"/>
      <w:bookmarkEnd w:id="0"/>
      <w:r>
        <w:rPr>
          <w:rFonts w:ascii="Times New Roman" w:hAnsi="Times New Roman" w:eastAsia="仿宋_GB2312" w:cs="Times New Roman"/>
          <w:color w:val="000000"/>
          <w:sz w:val="32"/>
          <w:szCs w:val="32"/>
        </w:rPr>
        <w:t>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2014）中规定，蜜饯凉果中苋菜红的最大使用量为0.05g/kg。</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中苋菜红检测值超标的原因，可能是生产过程中计量不准导致终产品苋菜红超标，也可能是生产企业为改善产品色泽、提高市场价值而过量使用。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六</w:t>
      </w:r>
      <w:r>
        <w:rPr>
          <w:rFonts w:ascii="Times New Roman" w:hAnsi="Times New Roman" w:eastAsia="黑体" w:cs="Times New Roman"/>
          <w:color w:val="000000"/>
          <w:sz w:val="32"/>
          <w:szCs w:val="32"/>
        </w:rPr>
        <w:t>、相同色泽着色剂混合使用时各自用量占其最大使用量的比例之和</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着色剂又称食用色素，用于赋予和改善食品的色泽。如果长期过量摄入，会加重肝脏和胃肠道的负担，对人体健康造成一定危害。《食品安全国家标准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2014）中规定，相同色泽着色剂混合使用时各自用量占其最大使用量的比例之和不得超过1</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相同色泽着色剂混合使用时各自用量占其最大使用量的比例之和检测值超标的原因，可能是生产企业对食品安全国家标准不了解而超限量添加多种相同色泽着色剂，也可能是在生产加工过程中未严格控制各相同色泽着色剂的用量。</w:t>
      </w:r>
    </w:p>
    <w:p>
      <w:pPr>
        <w:spacing w:line="59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七、铝的残留量</w:t>
      </w:r>
      <w:r>
        <w:rPr>
          <w:rFonts w:ascii="Times New Roman" w:hAnsi="Times New Roman" w:eastAsia="黑体" w:cs="Times New Roman"/>
          <w:sz w:val="32"/>
          <w:szCs w:val="32"/>
        </w:rPr>
        <w:t>（干样品，以Al计）</w:t>
      </w:r>
    </w:p>
    <w:p>
      <w:pPr>
        <w:adjustRightInd w:val="0"/>
        <w:snapToGrid w:val="0"/>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hint="eastAsia" w:ascii="Times New Roman" w:hAnsi="Times New Roman" w:eastAsia="仿宋_GB2312" w:cs="Times New Roman"/>
          <w:sz w:val="32"/>
          <w:szCs w:val="32"/>
        </w:rPr>
        <w:t>。《食品安全国家标准 食品添加剂使用标准》（GB 2760—2014）中规定，粉丝、粉条中铝的最大残留限量值（干样品，以Al计）为200mg/kg。</w:t>
      </w:r>
      <w:r>
        <w:rPr>
          <w:rFonts w:ascii="Times New Roman" w:hAnsi="Times New Roman" w:eastAsia="仿宋_GB2312" w:cs="Times New Roman"/>
          <w:sz w:val="32"/>
          <w:szCs w:val="32"/>
        </w:rPr>
        <w:t>粉丝、粉条中铝的残留量</w:t>
      </w:r>
      <w:r>
        <w:rPr>
          <w:rFonts w:hint="eastAsia" w:ascii="Times New Roman" w:hAnsi="Times New Roman" w:eastAsia="仿宋_GB2312" w:cs="Times New Roman"/>
          <w:sz w:val="32"/>
          <w:szCs w:val="32"/>
        </w:rPr>
        <w:t>（干样品，以</w:t>
      </w:r>
      <w:r>
        <w:rPr>
          <w:rFonts w:ascii="Times New Roman" w:hAnsi="Times New Roman" w:eastAsia="仿宋_GB2312" w:cs="Times New Roman"/>
          <w:sz w:val="32"/>
          <w:szCs w:val="32"/>
        </w:rPr>
        <w:t>Al</w:t>
      </w:r>
      <w:r>
        <w:rPr>
          <w:rFonts w:hint="eastAsia" w:ascii="Times New Roman" w:hAnsi="Times New Roman" w:eastAsia="仿宋_GB2312" w:cs="Times New Roman"/>
          <w:sz w:val="32"/>
          <w:szCs w:val="32"/>
        </w:rPr>
        <w:t>计）</w:t>
      </w:r>
      <w:r>
        <w:rPr>
          <w:rFonts w:ascii="Times New Roman" w:hAnsi="Times New Roman" w:eastAsia="仿宋_GB2312" w:cs="Times New Roman"/>
          <w:sz w:val="32"/>
          <w:szCs w:val="32"/>
        </w:rPr>
        <w:t>超标的原因，可能是个别企业为增加产品口感，在生产加工过程中超限量使用含铝食品添加剂</w:t>
      </w:r>
      <w:r>
        <w:rPr>
          <w:rFonts w:hint="eastAsia" w:ascii="Times New Roman" w:hAnsi="Times New Roman" w:eastAsia="仿宋_GB2312" w:cs="Times New Roman"/>
          <w:sz w:val="32"/>
          <w:szCs w:val="32"/>
        </w:rPr>
        <w:t>；也可能是</w:t>
      </w:r>
      <w:r>
        <w:rPr>
          <w:rFonts w:ascii="Times New Roman" w:hAnsi="Times New Roman" w:eastAsia="仿宋_GB2312" w:cs="Times New Roman"/>
          <w:sz w:val="32"/>
          <w:szCs w:val="32"/>
        </w:rPr>
        <w:t>其使用的复配食品添加剂中铝含量过高</w:t>
      </w:r>
      <w:r>
        <w:rPr>
          <w:rFonts w:hint="eastAsia" w:ascii="Times New Roman" w:hAnsi="Times New Roman" w:eastAsia="仿宋_GB2312" w:cs="Times New Roman"/>
          <w:sz w:val="32"/>
          <w:szCs w:val="32"/>
        </w:rPr>
        <w:t>；还可能</w:t>
      </w:r>
      <w:r>
        <w:rPr>
          <w:rFonts w:ascii="Times New Roman" w:hAnsi="Times New Roman" w:eastAsia="仿宋_GB2312" w:cs="Times New Roman"/>
          <w:sz w:val="32"/>
          <w:szCs w:val="32"/>
        </w:rPr>
        <w:t>是厂家使用的粉丝</w:t>
      </w:r>
      <w:r>
        <w:rPr>
          <w:rFonts w:hint="eastAsia" w:ascii="Times New Roman" w:hAnsi="Times New Roman" w:eastAsia="仿宋_GB2312" w:cs="Times New Roman"/>
          <w:sz w:val="32"/>
          <w:szCs w:val="32"/>
        </w:rPr>
        <w:t>粉条</w:t>
      </w:r>
      <w:r>
        <w:rPr>
          <w:rFonts w:ascii="Times New Roman" w:hAnsi="Times New Roman" w:eastAsia="仿宋_GB2312" w:cs="Times New Roman"/>
          <w:sz w:val="32"/>
          <w:szCs w:val="32"/>
        </w:rPr>
        <w:t>原料（食用淀粉）</w:t>
      </w:r>
      <w:r>
        <w:rPr>
          <w:rFonts w:hint="eastAsia" w:ascii="Times New Roman" w:hAnsi="Times New Roman" w:eastAsia="仿宋_GB2312" w:cs="Times New Roman"/>
          <w:sz w:val="32"/>
          <w:szCs w:val="32"/>
          <w:lang w:eastAsia="zh-CN"/>
        </w:rPr>
        <w:t>，因</w:t>
      </w:r>
      <w:r>
        <w:rPr>
          <w:rFonts w:ascii="Times New Roman" w:hAnsi="Times New Roman" w:eastAsia="仿宋_GB2312" w:cs="Times New Roman"/>
          <w:sz w:val="32"/>
          <w:szCs w:val="32"/>
        </w:rPr>
        <w:t>受环境影响</w:t>
      </w:r>
      <w:r>
        <w:rPr>
          <w:rFonts w:hint="eastAsia" w:ascii="Times New Roman" w:hAnsi="Times New Roman" w:eastAsia="仿宋_GB2312" w:cs="Times New Roman"/>
          <w:sz w:val="32"/>
          <w:szCs w:val="32"/>
          <w:lang w:eastAsia="zh-CN"/>
        </w:rPr>
        <w:t>原料中</w:t>
      </w:r>
      <w:r>
        <w:rPr>
          <w:rFonts w:ascii="Times New Roman" w:hAnsi="Times New Roman" w:eastAsia="仿宋_GB2312" w:cs="Times New Roman"/>
          <w:sz w:val="32"/>
          <w:szCs w:val="32"/>
        </w:rPr>
        <w:t>含有较高含量的铝。</w:t>
      </w: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D2BD7"/>
    <w:rsid w:val="0E2D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2021-10-22T09:04:00Z</dcterms:created>
  <dc:creator>赵爽</dc:creator>
  <cp:lastModifiedBy>赵爽</cp:lastModifiedBy>
  <dcterms:modified xsi:type="dcterms:W3CDTF">2021-10-22T09:05:12Z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