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黑体"/>
          <w:spacing w:val="-12"/>
          <w:sz w:val="44"/>
          <w:szCs w:val="44"/>
        </w:rPr>
      </w:pPr>
      <w:r>
        <w:rPr>
          <w:rFonts w:ascii="Times New Roman" w:hAnsi="Times New Roman" w:eastAsia="黑体"/>
          <w:sz w:val="32"/>
          <w:szCs w:val="32"/>
        </w:rPr>
        <w:t>附件</w:t>
      </w:r>
      <w:r>
        <w:rPr>
          <w:rFonts w:hint="eastAsia" w:ascii="Times New Roman" w:hAnsi="Times New Roman" w:eastAsia="黑体"/>
          <w:sz w:val="32"/>
          <w:szCs w:val="32"/>
        </w:rPr>
        <w:t>1</w:t>
      </w:r>
    </w:p>
    <w:p>
      <w:pPr>
        <w:spacing w:line="594" w:lineRule="exact"/>
        <w:jc w:val="center"/>
        <w:rPr>
          <w:rFonts w:ascii="Times New Roman" w:hAnsi="Times New Roman" w:eastAsia="方正小标宋简体"/>
          <w:spacing w:val="-12"/>
          <w:sz w:val="44"/>
          <w:szCs w:val="44"/>
        </w:rPr>
      </w:pPr>
      <w:r>
        <w:rPr>
          <w:rFonts w:hint="eastAsia" w:ascii="Times New Roman" w:hAnsi="Times New Roman" w:eastAsia="方正小标宋简体"/>
          <w:spacing w:val="-12"/>
          <w:sz w:val="44"/>
          <w:szCs w:val="44"/>
        </w:rPr>
        <w:t>部分不合格检验项目小知识</w:t>
      </w:r>
    </w:p>
    <w:p>
      <w:pPr>
        <w:spacing w:line="594" w:lineRule="exact"/>
        <w:rPr>
          <w:rFonts w:ascii="Times New Roman" w:hAnsi="Times New Roman" w:eastAsia="仿宋_GB2312"/>
          <w:sz w:val="32"/>
          <w:szCs w:val="32"/>
        </w:rPr>
      </w:pPr>
    </w:p>
    <w:p>
      <w:pPr>
        <w:spacing w:line="594" w:lineRule="exact"/>
        <w:ind w:firstLine="640" w:firstLineChars="200"/>
        <w:rPr>
          <w:rFonts w:eastAsia="黑体"/>
          <w:sz w:val="32"/>
          <w:szCs w:val="32"/>
        </w:rPr>
      </w:pPr>
      <w:r>
        <w:rPr>
          <w:rFonts w:hint="eastAsia" w:eastAsia="黑体"/>
          <w:sz w:val="32"/>
          <w:szCs w:val="32"/>
        </w:rPr>
        <w:t>一、</w:t>
      </w:r>
      <w:r>
        <w:rPr>
          <w:rFonts w:ascii="Times New Roman" w:hAnsi="Times New Roman" w:eastAsia="黑体"/>
          <w:sz w:val="32"/>
          <w:szCs w:val="32"/>
        </w:rPr>
        <w:t>N</w:t>
      </w:r>
      <w:r>
        <w:rPr>
          <w:rFonts w:hint="eastAsia" w:eastAsia="黑体"/>
          <w:sz w:val="32"/>
          <w:szCs w:val="32"/>
        </w:rPr>
        <w:t>-二甲基亚硝胺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N-二甲基亚硝胺是N-亚硝胺类化合物的一种，是国际公认的毒性较大的污染物，具有肝毒性和致癌性</w:t>
      </w:r>
      <w:r>
        <w:rPr>
          <w:rFonts w:hint="eastAsia" w:ascii="Times New Roman" w:hAnsi="Times New Roman" w:eastAsia="仿宋_GB2312"/>
          <w:sz w:val="32"/>
          <w:szCs w:val="32"/>
        </w:rPr>
        <w:t>。</w:t>
      </w:r>
      <w:r>
        <w:rPr>
          <w:rFonts w:ascii="Times New Roman" w:hAnsi="Times New Roman" w:eastAsia="仿宋_GB2312"/>
          <w:sz w:val="32"/>
          <w:szCs w:val="32"/>
        </w:rPr>
        <w:t>目前由N-二甲基亚硝胺引起的急性中毒较少，但如果一次或多次摄入含大量N-亚硝胺类化合物的食物，也可能引起急性中毒。《食品安全国家标准 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2017）中规定，N-二甲基亚硝胺在水产制品（水产品罐头除外）中的最大限量值为4.0μg/kg。</w:t>
      </w:r>
      <w:r>
        <w:rPr>
          <w:rFonts w:hint="eastAsia" w:ascii="Times New Roman" w:hAnsi="Times New Roman" w:eastAsia="仿宋_GB2312"/>
          <w:sz w:val="32"/>
          <w:szCs w:val="32"/>
        </w:rPr>
        <w:t>预制动物性水产干制品</w:t>
      </w:r>
      <w:r>
        <w:rPr>
          <w:rFonts w:ascii="Times New Roman" w:hAnsi="Times New Roman" w:eastAsia="仿宋_GB2312"/>
          <w:sz w:val="32"/>
          <w:szCs w:val="32"/>
        </w:rPr>
        <w:t>中N-二甲基亚硝胺</w:t>
      </w:r>
      <w:r>
        <w:rPr>
          <w:rFonts w:hint="eastAsia" w:ascii="Times New Roman" w:hAnsi="Times New Roman" w:eastAsia="仿宋_GB2312"/>
          <w:sz w:val="32"/>
          <w:szCs w:val="32"/>
        </w:rPr>
        <w:t>检测值</w:t>
      </w:r>
      <w:r>
        <w:rPr>
          <w:rFonts w:ascii="Times New Roman" w:hAnsi="Times New Roman" w:eastAsia="仿宋_GB2312"/>
          <w:sz w:val="32"/>
          <w:szCs w:val="32"/>
        </w:rPr>
        <w:t>超标的原因</w:t>
      </w:r>
      <w:r>
        <w:rPr>
          <w:rFonts w:hint="eastAsia" w:ascii="Times New Roman" w:hAnsi="Times New Roman" w:eastAsia="仿宋_GB2312"/>
          <w:sz w:val="32"/>
          <w:szCs w:val="32"/>
        </w:rPr>
        <w:t>，</w:t>
      </w:r>
      <w:r>
        <w:rPr>
          <w:rFonts w:ascii="Times New Roman" w:hAnsi="Times New Roman" w:eastAsia="仿宋_GB2312"/>
          <w:sz w:val="32"/>
          <w:szCs w:val="32"/>
        </w:rPr>
        <w:t>可能是产品原料腐败所致或加工过程中污染所致。</w:t>
      </w:r>
    </w:p>
    <w:p>
      <w:pPr>
        <w:spacing w:line="594" w:lineRule="exact"/>
        <w:ind w:firstLine="640" w:firstLineChars="200"/>
        <w:rPr>
          <w:rFonts w:ascii="Calibri" w:hAnsi="Calibri" w:eastAsia="仿宋_GB2312" w:cs="Times New Roman"/>
          <w:sz w:val="32"/>
          <w:szCs w:val="32"/>
        </w:rPr>
      </w:pPr>
      <w:r>
        <w:rPr>
          <w:rFonts w:hint="eastAsia" w:ascii="黑体" w:hAnsi="黑体" w:eastAsia="黑体" w:cs="Times New Roman"/>
          <w:sz w:val="32"/>
          <w:szCs w:val="32"/>
        </w:rPr>
        <w:t>二、</w:t>
      </w:r>
      <w:r>
        <w:rPr>
          <w:rFonts w:hint="eastAsia" w:ascii="Times New Roman" w:hAnsi="Times New Roman" w:eastAsia="黑体" w:cs="Times New Roman"/>
          <w:sz w:val="32"/>
          <w:szCs w:val="32"/>
        </w:rPr>
        <w:t>菌落总数</w:t>
      </w:r>
    </w:p>
    <w:p>
      <w:pPr>
        <w:spacing w:line="59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sz w:val="32"/>
          <w:szCs w:val="32"/>
        </w:rPr>
        <w:t>《食品安全国家标准 糕点、面包》（GB 7099—2015）</w:t>
      </w:r>
      <w:r>
        <w:rPr>
          <w:rFonts w:hint="eastAsia" w:ascii="Calibri" w:hAnsi="Calibri" w:eastAsia="仿宋_GB2312" w:cs="Times New Roman"/>
          <w:sz w:val="32"/>
          <w:szCs w:val="32"/>
        </w:rPr>
        <w:t>中规定，糕点食品同一批次产品</w:t>
      </w:r>
      <w:r>
        <w:rPr>
          <w:rFonts w:ascii="Times New Roman" w:hAnsi="Times New Roman" w:eastAsia="仿宋_GB2312" w:cs="Times New Roman"/>
          <w:sz w:val="32"/>
          <w:szCs w:val="32"/>
        </w:rPr>
        <w:t>5</w:t>
      </w:r>
      <w:r>
        <w:rPr>
          <w:rFonts w:hint="eastAsia" w:ascii="Calibri" w:hAnsi="Calibri" w:eastAsia="仿宋_GB2312" w:cs="Times New Roman"/>
          <w:sz w:val="32"/>
          <w:szCs w:val="32"/>
        </w:rPr>
        <w:t>个样品的菌落总数检测结果均不得超过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rPr>
        <w:t>5</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，且最多允许</w:t>
      </w:r>
      <w:r>
        <w:rPr>
          <w:rFonts w:ascii="Times New Roman" w:hAnsi="Times New Roman" w:eastAsia="仿宋_GB2312" w:cs="Times New Roman"/>
          <w:sz w:val="32"/>
          <w:szCs w:val="32"/>
        </w:rPr>
        <w:t>2个</w:t>
      </w:r>
      <w:r>
        <w:rPr>
          <w:rFonts w:hint="eastAsia" w:ascii="Calibri" w:hAnsi="Calibri" w:eastAsia="仿宋_GB2312" w:cs="Times New Roman"/>
          <w:sz w:val="32"/>
          <w:szCs w:val="32"/>
        </w:rPr>
        <w:t>样品</w:t>
      </w:r>
      <w:r>
        <w:rPr>
          <w:rFonts w:hint="eastAsia" w:ascii="Times New Roman" w:hAnsi="Times New Roman" w:eastAsia="仿宋_GB2312" w:cs="Times New Roman"/>
          <w:sz w:val="32"/>
          <w:szCs w:val="32"/>
        </w:rPr>
        <w:t>的检测结果超过10</w:t>
      </w:r>
      <w:r>
        <w:rPr>
          <w:rFonts w:ascii="Times New Roman" w:hAnsi="Times New Roman" w:eastAsia="仿宋_GB2312" w:cs="Times New Roman"/>
          <w:sz w:val="32"/>
          <w:szCs w:val="32"/>
          <w:vertAlign w:val="superscript"/>
        </w:rPr>
        <w:t>4</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hint="eastAsia" w:ascii="Times New Roman" w:hAnsi="Times New Roman" w:eastAsia="仿宋_GB2312"/>
          <w:sz w:val="32"/>
          <w:szCs w:val="32"/>
        </w:rPr>
        <w:t>《年糕》（SB/T 10507—2008）中规定，水磨年糕微生物指标应符合</w:t>
      </w:r>
      <w:r>
        <w:rPr>
          <w:rFonts w:ascii="Times New Roman" w:hAnsi="Times New Roman" w:eastAsia="仿宋_GB2312"/>
          <w:sz w:val="32"/>
          <w:szCs w:val="32"/>
        </w:rPr>
        <w:t>《食品安全国家标准</w:t>
      </w:r>
      <w:r>
        <w:rPr>
          <w:rFonts w:hint="eastAsia" w:ascii="Times New Roman" w:hAnsi="Times New Roman" w:eastAsia="仿宋_GB2312"/>
          <w:sz w:val="32"/>
          <w:szCs w:val="32"/>
        </w:rPr>
        <w:t xml:space="preserve"> 速冻面米制品</w:t>
      </w:r>
      <w:r>
        <w:rPr>
          <w:rFonts w:ascii="Times New Roman" w:hAnsi="Times New Roman" w:eastAsia="仿宋_GB2312"/>
          <w:sz w:val="32"/>
          <w:szCs w:val="32"/>
        </w:rPr>
        <w:t>》</w:t>
      </w:r>
      <w:r>
        <w:rPr>
          <w:rFonts w:hint="eastAsia" w:ascii="Times New Roman" w:hAnsi="Times New Roman" w:eastAsia="仿宋_GB2312"/>
          <w:sz w:val="32"/>
          <w:szCs w:val="32"/>
        </w:rPr>
        <w:t>（GB 19295—2011）中“熟制食品”的规定，即</w:t>
      </w:r>
      <w:r>
        <w:rPr>
          <w:rFonts w:eastAsia="仿宋_GB2312"/>
          <w:sz w:val="32"/>
          <w:szCs w:val="32"/>
        </w:rPr>
        <w:t>同一批次产品</w:t>
      </w:r>
      <w:r>
        <w:rPr>
          <w:rFonts w:ascii="Times New Roman" w:hAnsi="Times New Roman" w:eastAsia="仿宋_GB2312"/>
          <w:sz w:val="32"/>
          <w:szCs w:val="32"/>
        </w:rPr>
        <w:t>5</w:t>
      </w:r>
      <w:r>
        <w:rPr>
          <w:rFonts w:eastAsia="仿宋_GB2312"/>
          <w:sz w:val="32"/>
          <w:szCs w:val="32"/>
        </w:rPr>
        <w:t>个样品的</w:t>
      </w:r>
      <w:r>
        <w:rPr>
          <w:rFonts w:hint="eastAsia" w:eastAsia="仿宋_GB2312"/>
          <w:sz w:val="32"/>
          <w:szCs w:val="32"/>
        </w:rPr>
        <w:t>菌落总数检测结果</w:t>
      </w:r>
      <w:r>
        <w:rPr>
          <w:rFonts w:ascii="Times New Roman" w:hAnsi="Times New Roman" w:eastAsia="仿宋_GB2312"/>
          <w:sz w:val="32"/>
          <w:szCs w:val="32"/>
        </w:rPr>
        <w:t>均不得超过10</w:t>
      </w:r>
      <w:r>
        <w:rPr>
          <w:rFonts w:hint="eastAsia" w:ascii="Times New Roman" w:hAnsi="Times New Roman" w:eastAsia="仿宋_GB2312"/>
          <w:sz w:val="32"/>
          <w:szCs w:val="32"/>
        </w:rPr>
        <w:t>0000</w:t>
      </w:r>
      <w:r>
        <w:rPr>
          <w:rFonts w:ascii="Times New Roman" w:hAnsi="Times New Roman" w:eastAsia="仿宋_GB2312"/>
          <w:sz w:val="32"/>
          <w:szCs w:val="32"/>
        </w:rPr>
        <w:t>CFU/g，</w:t>
      </w:r>
      <w:r>
        <w:rPr>
          <w:rFonts w:hint="eastAsia" w:ascii="Times New Roman" w:hAnsi="Times New Roman" w:eastAsia="仿宋_GB2312"/>
          <w:sz w:val="32"/>
          <w:szCs w:val="32"/>
        </w:rPr>
        <w:t>且最多允许1个样品的检测结果超过10000CFU/g。</w:t>
      </w:r>
      <w:r>
        <w:rPr>
          <w:rFonts w:hint="eastAsia" w:ascii="Calibri" w:hAnsi="Calibri" w:eastAsia="仿宋_GB2312" w:cs="Times New Roman"/>
          <w:sz w:val="32"/>
          <w:szCs w:val="32"/>
        </w:rPr>
        <w:t>糕点、</w:t>
      </w:r>
      <w:r>
        <w:rPr>
          <w:rFonts w:hint="eastAsia" w:ascii="Times New Roman" w:hAnsi="Times New Roman" w:eastAsia="仿宋_GB2312"/>
          <w:sz w:val="32"/>
          <w:szCs w:val="32"/>
        </w:rPr>
        <w:t>水磨年糕</w:t>
      </w:r>
      <w:r>
        <w:rPr>
          <w:rFonts w:ascii="Times New Roman" w:hAnsi="Times New Roman" w:eastAsia="仿宋_GB2312" w:cs="Times New Roman"/>
          <w:sz w:val="32"/>
          <w:szCs w:val="32"/>
        </w:rPr>
        <w:t>中菌落总数超标的原因</w:t>
      </w:r>
      <w:r>
        <w:rPr>
          <w:rFonts w:hint="eastAsia" w:ascii="Calibri" w:hAnsi="Calibri" w:eastAsia="仿宋_GB2312" w:cs="Times New Roman"/>
          <w:sz w:val="32"/>
          <w:szCs w:val="32"/>
        </w:rPr>
        <w:t>，</w:t>
      </w:r>
      <w:r>
        <w:rPr>
          <w:rFonts w:ascii="Times New Roman" w:hAnsi="Times New Roman" w:eastAsia="仿宋_GB2312" w:cs="Times New Roman"/>
          <w:sz w:val="32"/>
          <w:szCs w:val="32"/>
        </w:rPr>
        <w:t>可能是企业未按要求严格控制生产加工过程的卫生条件</w:t>
      </w:r>
      <w:r>
        <w:rPr>
          <w:rFonts w:hint="eastAsia" w:ascii="Times New Roman" w:hAnsi="Times New Roman" w:eastAsia="仿宋_GB2312" w:cs="Times New Roman"/>
          <w:sz w:val="32"/>
          <w:szCs w:val="32"/>
        </w:rPr>
        <w:t>，也</w:t>
      </w:r>
      <w:r>
        <w:rPr>
          <w:rFonts w:ascii="Times New Roman" w:hAnsi="Times New Roman" w:eastAsia="仿宋_GB2312" w:cs="Times New Roman"/>
          <w:sz w:val="32"/>
          <w:szCs w:val="32"/>
        </w:rPr>
        <w:t>可能与产品包装密封不严</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储运条件不当等有关。</w:t>
      </w:r>
    </w:p>
    <w:p>
      <w:pPr>
        <w:pStyle w:val="16"/>
        <w:spacing w:line="594" w:lineRule="exact"/>
        <w:ind w:firstLine="640"/>
        <w:textAlignment w:val="baseline"/>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w:t>
      </w:r>
      <w:r>
        <w:rPr>
          <w:rFonts w:ascii="Times New Roman" w:hAnsi="Times New Roman" w:eastAsia="黑体"/>
          <w:sz w:val="32"/>
          <w:szCs w:val="32"/>
        </w:rPr>
        <w:t>大肠菌群</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大肠菌群是国内外通用的食品污染常用指示菌之一，包括肠杆菌科的埃希氏菌属、柠檬酸杆菌属、肠杆菌属和克雷伯氏菌属。食品中大肠菌群超标，提示该食品存在被肠道致病菌污染的可能；长期食用大肠菌群超标的食品，对人体健康具有潜在危害，尤其对老人、小孩的危害更大。</w:t>
      </w:r>
      <w:r>
        <w:rPr>
          <w:rFonts w:ascii="Times New Roman" w:hAnsi="Times New Roman" w:eastAsia="仿宋_GB2312"/>
          <w:sz w:val="32"/>
          <w:szCs w:val="32"/>
          <w:highlight w:val="none"/>
        </w:rPr>
        <w:t>《食品安全国家标准 豆制品》（GB 2712</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2014）中规定，同一批次</w:t>
      </w:r>
      <w:r>
        <w:rPr>
          <w:rFonts w:hint="eastAsia" w:ascii="Times New Roman" w:hAnsi="Times New Roman" w:eastAsia="仿宋_GB2312"/>
          <w:sz w:val="32"/>
          <w:szCs w:val="32"/>
          <w:highlight w:val="none"/>
          <w:lang w:eastAsia="zh-CN"/>
        </w:rPr>
        <w:t>产品</w:t>
      </w:r>
      <w:r>
        <w:rPr>
          <w:rFonts w:ascii="Times New Roman" w:hAnsi="Times New Roman" w:eastAsia="仿宋_GB2312"/>
          <w:sz w:val="32"/>
          <w:szCs w:val="32"/>
          <w:highlight w:val="none"/>
        </w:rPr>
        <w:t>5个独立包装</w:t>
      </w:r>
      <w:r>
        <w:rPr>
          <w:rFonts w:hint="eastAsia" w:ascii="Times New Roman" w:hAnsi="Times New Roman" w:eastAsia="仿宋_GB2312"/>
          <w:sz w:val="32"/>
          <w:szCs w:val="32"/>
          <w:highlight w:val="none"/>
          <w:lang w:eastAsia="zh-CN"/>
        </w:rPr>
        <w:t>样品的</w:t>
      </w:r>
      <w:r>
        <w:rPr>
          <w:rFonts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检测值均不得超过</w:t>
      </w:r>
      <w:r>
        <w:rPr>
          <w:rFonts w:ascii="Times New Roman" w:hAnsi="Times New Roman" w:eastAsia="仿宋_GB2312"/>
          <w:sz w:val="32"/>
          <w:szCs w:val="32"/>
          <w:highlight w:val="none"/>
        </w:rPr>
        <w:t>10</w:t>
      </w:r>
      <w:r>
        <w:rPr>
          <w:rFonts w:hint="eastAsia" w:ascii="Times New Roman" w:hAnsi="Times New Roman" w:eastAsia="仿宋_GB2312"/>
          <w:sz w:val="32"/>
          <w:szCs w:val="32"/>
          <w:highlight w:val="none"/>
          <w:vertAlign w:val="superscript"/>
          <w:lang w:val="en-US" w:eastAsia="zh-CN"/>
        </w:rPr>
        <w:t>3</w:t>
      </w:r>
      <w:r>
        <w:rPr>
          <w:rFonts w:ascii="Times New Roman" w:hAnsi="Times New Roman" w:eastAsia="仿宋_GB2312"/>
          <w:sz w:val="32"/>
          <w:szCs w:val="32"/>
          <w:highlight w:val="none"/>
        </w:rPr>
        <w:t>CFU/g，且</w:t>
      </w:r>
      <w:r>
        <w:rPr>
          <w:rFonts w:hint="eastAsia" w:ascii="Times New Roman" w:hAnsi="Times New Roman" w:eastAsia="仿宋_GB2312"/>
          <w:sz w:val="32"/>
          <w:szCs w:val="32"/>
          <w:highlight w:val="none"/>
          <w:lang w:eastAsia="zh-CN"/>
        </w:rPr>
        <w:t>最多</w:t>
      </w:r>
      <w:r>
        <w:rPr>
          <w:rFonts w:hint="eastAsia" w:ascii="Times New Roman" w:hAnsi="Times New Roman" w:eastAsia="仿宋_GB2312"/>
          <w:sz w:val="32"/>
          <w:szCs w:val="32"/>
          <w:highlight w:val="none"/>
        </w:rPr>
        <w:t>允许2个</w:t>
      </w:r>
      <w:r>
        <w:rPr>
          <w:rFonts w:ascii="Times New Roman" w:hAnsi="Times New Roman" w:eastAsia="仿宋_GB2312"/>
          <w:sz w:val="32"/>
          <w:szCs w:val="32"/>
          <w:highlight w:val="none"/>
        </w:rPr>
        <w:t>独立包装</w:t>
      </w:r>
      <w:r>
        <w:rPr>
          <w:rFonts w:hint="eastAsia" w:ascii="Times New Roman" w:hAnsi="Times New Roman" w:eastAsia="仿宋_GB2312"/>
          <w:sz w:val="32"/>
          <w:szCs w:val="32"/>
          <w:highlight w:val="none"/>
        </w:rPr>
        <w:t>的检测值在10</w:t>
      </w:r>
      <w:r>
        <w:rPr>
          <w:rFonts w:hint="eastAsia" w:ascii="Times New Roman" w:hAnsi="Times New Roman" w:eastAsia="仿宋_GB2312"/>
          <w:sz w:val="32"/>
          <w:szCs w:val="32"/>
          <w:highlight w:val="none"/>
          <w:vertAlign w:val="superscript"/>
          <w:lang w:val="en-US" w:eastAsia="zh-CN"/>
        </w:rPr>
        <w:t>2</w:t>
      </w:r>
      <w:r>
        <w:rPr>
          <w:rFonts w:hint="eastAsia" w:ascii="Times New Roman" w:hAnsi="Times New Roman" w:eastAsia="仿宋_GB2312"/>
          <w:sz w:val="32"/>
          <w:szCs w:val="32"/>
          <w:highlight w:val="none"/>
        </w:rPr>
        <w:t>CFU/g和10</w:t>
      </w:r>
      <w:r>
        <w:rPr>
          <w:rFonts w:hint="eastAsia" w:ascii="Times New Roman" w:hAnsi="Times New Roman" w:eastAsia="仿宋_GB2312"/>
          <w:sz w:val="32"/>
          <w:szCs w:val="32"/>
          <w:highlight w:val="none"/>
          <w:vertAlign w:val="superscript"/>
          <w:lang w:val="en-US" w:eastAsia="zh-CN"/>
        </w:rPr>
        <w:t>3</w:t>
      </w:r>
      <w:r>
        <w:rPr>
          <w:rFonts w:hint="eastAsia" w:ascii="Times New Roman" w:hAnsi="Times New Roman" w:eastAsia="仿宋_GB2312"/>
          <w:sz w:val="32"/>
          <w:szCs w:val="32"/>
          <w:highlight w:val="none"/>
        </w:rPr>
        <w:t>CFU/g之间</w:t>
      </w:r>
      <w:r>
        <w:rPr>
          <w:rFonts w:ascii="Times New Roman" w:hAnsi="Times New Roman" w:eastAsia="仿宋_GB2312"/>
          <w:sz w:val="32"/>
          <w:szCs w:val="32"/>
          <w:highlight w:val="none"/>
        </w:rPr>
        <w:t>。</w:t>
      </w:r>
      <w:r>
        <w:rPr>
          <w:rFonts w:ascii="Times New Roman" w:hAnsi="Times New Roman" w:eastAsia="仿宋_GB2312"/>
          <w:sz w:val="32"/>
          <w:szCs w:val="32"/>
        </w:rPr>
        <w:t>腐乳中大肠菌群超标的原因，可能是加工原料或包装材料受污染，也可能是生产过程中人员、工器具等卫生条件控制不到位。</w:t>
      </w:r>
    </w:p>
    <w:p>
      <w:pPr>
        <w:spacing w:line="594" w:lineRule="exact"/>
        <w:ind w:firstLine="640" w:firstLineChars="200"/>
        <w:rPr>
          <w:rFonts w:ascii="黑体" w:hAnsi="黑体"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w:t>
      </w:r>
      <w:r>
        <w:rPr>
          <w:rFonts w:ascii="黑体" w:hAnsi="黑体" w:eastAsia="黑体" w:cs="Times New Roman"/>
          <w:sz w:val="32"/>
          <w:szCs w:val="32"/>
        </w:rPr>
        <w:t>腐霉利</w:t>
      </w:r>
      <w:bookmarkStart w:id="0" w:name="_GoBack"/>
      <w:bookmarkEnd w:id="0"/>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腐霉利是一种广谱内吸性的高效杀菌剂，对低温高湿条件下发生的灰霉病、菌核病有显著效果，但菌株容易对其产生抗性。</w:t>
      </w:r>
      <w:r>
        <w:rPr>
          <w:rFonts w:ascii="Times New Roman" w:hAnsi="Times New Roman" w:eastAsia="仿宋_GB2312"/>
          <w:sz w:val="32"/>
          <w:szCs w:val="32"/>
        </w:rPr>
        <w:t>少量的残留不会引起人体急性中毒，但长期食用</w:t>
      </w:r>
      <w:r>
        <w:rPr>
          <w:rFonts w:ascii="Times New Roman" w:hAnsi="Times New Roman" w:eastAsia="仿宋_GB2312" w:cs="Times New Roman"/>
          <w:sz w:val="32"/>
          <w:szCs w:val="32"/>
        </w:rPr>
        <w:t>腐霉利</w:t>
      </w:r>
      <w:r>
        <w:rPr>
          <w:rFonts w:ascii="Times New Roman" w:hAnsi="Times New Roman" w:eastAsia="仿宋_GB2312"/>
          <w:sz w:val="32"/>
          <w:szCs w:val="32"/>
        </w:rPr>
        <w:t>超标的食品，对人体健康可能有一定影响。</w:t>
      </w:r>
      <w:r>
        <w:rPr>
          <w:rFonts w:ascii="Times New Roman" w:hAnsi="Times New Roman" w:eastAsia="仿宋_GB2312" w:cs="Times New Roman"/>
          <w:sz w:val="32"/>
          <w:szCs w:val="32"/>
        </w:rPr>
        <w:t>《食品安全国家标准 食品中农药最大残留限量》（GB 2763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2019）中规定，腐霉利在韭菜中的最大残留限量值为0.2mg/kg。</w:t>
      </w:r>
      <w:r>
        <w:rPr>
          <w:rFonts w:hint="eastAsia" w:ascii="Times New Roman" w:hAnsi="Times New Roman" w:eastAsia="仿宋_GB2312" w:cs="Times New Roman"/>
          <w:sz w:val="32"/>
          <w:szCs w:val="32"/>
        </w:rPr>
        <w:t>韭菜中腐霉利残留量</w:t>
      </w:r>
      <w:r>
        <w:rPr>
          <w:rFonts w:ascii="Times New Roman" w:hAnsi="Times New Roman" w:eastAsia="仿宋_GB2312" w:cs="Times New Roman"/>
          <w:sz w:val="32"/>
          <w:szCs w:val="32"/>
        </w:rPr>
        <w:t>超标的原因</w:t>
      </w:r>
      <w:r>
        <w:rPr>
          <w:rFonts w:hint="eastAsia" w:ascii="Times New Roman" w:hAnsi="Times New Roman" w:eastAsia="仿宋_GB2312" w:cs="Times New Roman"/>
          <w:sz w:val="32"/>
          <w:szCs w:val="32"/>
        </w:rPr>
        <w:t>，</w:t>
      </w:r>
      <w:r>
        <w:rPr>
          <w:rFonts w:ascii="Times New Roman" w:hAnsi="Times New Roman" w:eastAsia="仿宋_GB2312"/>
          <w:sz w:val="32"/>
          <w:szCs w:val="32"/>
        </w:rPr>
        <w:t>可能是</w:t>
      </w:r>
      <w:r>
        <w:rPr>
          <w:rFonts w:hint="eastAsia" w:ascii="Times New Roman" w:hAnsi="Times New Roman" w:eastAsia="仿宋_GB2312"/>
          <w:sz w:val="32"/>
          <w:szCs w:val="32"/>
        </w:rPr>
        <w:t>为</w:t>
      </w:r>
      <w:r>
        <w:rPr>
          <w:rFonts w:ascii="Times New Roman" w:hAnsi="Times New Roman" w:eastAsia="仿宋_GB2312"/>
          <w:sz w:val="32"/>
          <w:szCs w:val="32"/>
        </w:rPr>
        <w:t>快速控制病情</w:t>
      </w:r>
      <w:r>
        <w:rPr>
          <w:rFonts w:hint="eastAsia" w:ascii="Times New Roman" w:hAnsi="Times New Roman" w:eastAsia="仿宋_GB2312"/>
          <w:sz w:val="32"/>
          <w:szCs w:val="32"/>
        </w:rPr>
        <w:t>，</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、啶虫脒</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啶虫脒是一种烟碱类杀虫剂，具有触杀、胃毒和内吸作用，对蓟马等</w:t>
      </w:r>
      <w:r>
        <w:rPr>
          <w:rFonts w:hint="eastAsia" w:ascii="Times New Roman" w:hAnsi="Times New Roman" w:eastAsia="仿宋_GB2312"/>
          <w:color w:val="000000"/>
          <w:sz w:val="32"/>
          <w:szCs w:val="32"/>
        </w:rPr>
        <w:t>有较好防效</w:t>
      </w:r>
      <w:r>
        <w:rPr>
          <w:rFonts w:ascii="Times New Roman" w:hAnsi="Times New Roman" w:eastAsia="仿宋_GB2312"/>
          <w:sz w:val="32"/>
          <w:szCs w:val="32"/>
        </w:rPr>
        <w:t>。少量的残留不会引起人体急性中毒，但长期食用</w:t>
      </w:r>
      <w:r>
        <w:rPr>
          <w:rFonts w:hint="eastAsia" w:ascii="Times New Roman" w:hAnsi="Times New Roman" w:eastAsia="仿宋_GB2312"/>
          <w:sz w:val="32"/>
          <w:szCs w:val="32"/>
        </w:rPr>
        <w:t>啶虫脒</w:t>
      </w:r>
      <w:r>
        <w:rPr>
          <w:rFonts w:ascii="Times New Roman" w:hAnsi="Times New Roman" w:eastAsia="仿宋_GB2312"/>
          <w:sz w:val="32"/>
          <w:szCs w:val="32"/>
        </w:rPr>
        <w:t>超标的食品，对人体健康可能有一定影响。《食品安全国家标准 食品中农药最大残留限量》（GB 2763</w:t>
      </w:r>
      <w:r>
        <w:rPr>
          <w:rFonts w:hint="eastAsia" w:ascii="Times New Roman" w:hAnsi="Times New Roman" w:eastAsia="仿宋_GB2312"/>
          <w:sz w:val="32"/>
          <w:szCs w:val="32"/>
        </w:rPr>
        <w:t>—</w:t>
      </w:r>
      <w:r>
        <w:rPr>
          <w:rFonts w:ascii="Times New Roman" w:hAnsi="Times New Roman" w:eastAsia="仿宋_GB2312"/>
          <w:sz w:val="32"/>
          <w:szCs w:val="32"/>
        </w:rPr>
        <w:t>2019）中规定，</w:t>
      </w:r>
      <w:r>
        <w:rPr>
          <w:rFonts w:hint="eastAsia" w:ascii="Times New Roman" w:hAnsi="Times New Roman" w:eastAsia="仿宋_GB2312"/>
          <w:sz w:val="32"/>
          <w:szCs w:val="32"/>
        </w:rPr>
        <w:t>啶虫脒</w:t>
      </w:r>
      <w:r>
        <w:rPr>
          <w:rFonts w:ascii="Times New Roman" w:hAnsi="Times New Roman" w:eastAsia="仿宋_GB2312"/>
          <w:sz w:val="32"/>
          <w:szCs w:val="32"/>
        </w:rPr>
        <w:t>在</w:t>
      </w:r>
      <w:r>
        <w:rPr>
          <w:rFonts w:hint="eastAsia" w:ascii="Times New Roman" w:hAnsi="Times New Roman" w:eastAsia="仿宋_GB2312"/>
          <w:sz w:val="32"/>
          <w:szCs w:val="32"/>
        </w:rPr>
        <w:t>鳞茎类蔬菜</w:t>
      </w:r>
      <w:r>
        <w:rPr>
          <w:rFonts w:hint="eastAsia" w:ascii="Times New Roman" w:hAnsi="Times New Roman" w:eastAsia="仿宋_GB2312"/>
          <w:sz w:val="32"/>
          <w:szCs w:val="32"/>
          <w:lang w:eastAsia="zh-CN"/>
        </w:rPr>
        <w:t>（葱除外）</w:t>
      </w:r>
      <w:r>
        <w:rPr>
          <w:rFonts w:ascii="Times New Roman" w:hAnsi="Times New Roman" w:eastAsia="仿宋_GB2312"/>
          <w:sz w:val="32"/>
          <w:szCs w:val="32"/>
        </w:rPr>
        <w:t>中的最大残留限量</w:t>
      </w:r>
      <w:r>
        <w:rPr>
          <w:rFonts w:hint="eastAsia" w:ascii="Times New Roman" w:hAnsi="Times New Roman" w:eastAsia="仿宋_GB2312"/>
          <w:sz w:val="32"/>
          <w:szCs w:val="32"/>
        </w:rPr>
        <w:t>值</w:t>
      </w:r>
      <w:r>
        <w:rPr>
          <w:rFonts w:ascii="Times New Roman" w:hAnsi="Times New Roman" w:eastAsia="仿宋_GB2312"/>
          <w:sz w:val="32"/>
          <w:szCs w:val="32"/>
        </w:rPr>
        <w:t>为</w:t>
      </w:r>
      <w:r>
        <w:rPr>
          <w:rFonts w:hint="eastAsia" w:ascii="Times New Roman" w:hAnsi="Times New Roman" w:eastAsia="仿宋_GB2312"/>
          <w:sz w:val="32"/>
          <w:szCs w:val="32"/>
        </w:rPr>
        <w:t>0.02</w:t>
      </w:r>
      <w:r>
        <w:rPr>
          <w:rFonts w:ascii="Times New Roman" w:hAnsi="Times New Roman" w:eastAsia="仿宋_GB2312"/>
          <w:sz w:val="32"/>
          <w:szCs w:val="32"/>
        </w:rPr>
        <w:t>mg/kg。</w:t>
      </w:r>
      <w:r>
        <w:rPr>
          <w:rFonts w:hint="eastAsia" w:ascii="Times New Roman" w:hAnsi="Times New Roman" w:eastAsia="仿宋_GB2312"/>
          <w:sz w:val="32"/>
          <w:szCs w:val="32"/>
        </w:rPr>
        <w:t>韭菜中啶虫脒</w:t>
      </w:r>
      <w:r>
        <w:rPr>
          <w:rFonts w:hint="eastAsia" w:ascii="仿宋_GB2312" w:eastAsia="仿宋_GB2312"/>
          <w:sz w:val="32"/>
          <w:szCs w:val="32"/>
        </w:rPr>
        <w:t>残留量</w:t>
      </w:r>
      <w:r>
        <w:rPr>
          <w:rFonts w:ascii="Times New Roman" w:hAnsi="Times New Roman" w:eastAsia="仿宋_GB2312"/>
          <w:sz w:val="32"/>
          <w:szCs w:val="32"/>
        </w:rPr>
        <w:t>超标的原因</w:t>
      </w:r>
      <w:r>
        <w:rPr>
          <w:rFonts w:hint="eastAsia" w:ascii="Times New Roman" w:hAnsi="Times New Roman" w:eastAsia="仿宋_GB2312"/>
          <w:sz w:val="32"/>
          <w:szCs w:val="32"/>
        </w:rPr>
        <w:t>，可能是为</w:t>
      </w:r>
      <w:r>
        <w:rPr>
          <w:rFonts w:ascii="Times New Roman" w:hAnsi="Times New Roman" w:eastAsia="仿宋_GB2312"/>
          <w:sz w:val="32"/>
          <w:szCs w:val="32"/>
        </w:rPr>
        <w:t>快速控制</w:t>
      </w:r>
      <w:r>
        <w:rPr>
          <w:rFonts w:hint="eastAsia" w:ascii="Times New Roman" w:hAnsi="Times New Roman" w:eastAsia="仿宋_GB2312"/>
          <w:sz w:val="32"/>
          <w:szCs w:val="32"/>
        </w:rPr>
        <w:t>虫害，</w:t>
      </w:r>
      <w:r>
        <w:rPr>
          <w:rFonts w:ascii="Times New Roman" w:hAnsi="Times New Roman" w:eastAsia="仿宋_GB2312"/>
          <w:sz w:val="32"/>
          <w:szCs w:val="32"/>
        </w:rPr>
        <w:t>加大用药量</w:t>
      </w:r>
      <w:r>
        <w:rPr>
          <w:rFonts w:hint="eastAsia" w:ascii="Times New Roman" w:hAnsi="Times New Roman" w:eastAsia="仿宋_GB2312"/>
          <w:sz w:val="32"/>
          <w:szCs w:val="32"/>
        </w:rPr>
        <w:t>或</w:t>
      </w:r>
      <w:r>
        <w:rPr>
          <w:rFonts w:ascii="Times New Roman" w:hAnsi="Times New Roman" w:eastAsia="仿宋_GB2312"/>
          <w:sz w:val="32"/>
          <w:szCs w:val="32"/>
        </w:rPr>
        <w:t>未遵守采摘间隔期</w:t>
      </w:r>
      <w:r>
        <w:rPr>
          <w:rFonts w:hint="eastAsia" w:ascii="Times New Roman" w:hAnsi="Times New Roman" w:eastAsia="仿宋_GB2312"/>
          <w:sz w:val="32"/>
          <w:szCs w:val="32"/>
        </w:rPr>
        <w:t>规定</w:t>
      </w:r>
      <w:r>
        <w:rPr>
          <w:rFonts w:ascii="Times New Roman" w:hAnsi="Times New Roman" w:eastAsia="仿宋_GB2312"/>
          <w:sz w:val="32"/>
          <w:szCs w:val="32"/>
        </w:rPr>
        <w:t>，致使上市销售</w:t>
      </w:r>
      <w:r>
        <w:rPr>
          <w:rFonts w:hint="eastAsia" w:ascii="Times New Roman" w:hAnsi="Times New Roman" w:eastAsia="仿宋_GB2312"/>
          <w:sz w:val="32"/>
          <w:szCs w:val="32"/>
        </w:rPr>
        <w:t>的产品中残留量超标</w:t>
      </w:r>
      <w:r>
        <w:rPr>
          <w:rFonts w:ascii="Times New Roman" w:hAnsi="Times New Roman" w:eastAsia="仿宋_GB2312"/>
          <w:sz w:val="32"/>
          <w:szCs w:val="32"/>
        </w:rPr>
        <w:t>。</w:t>
      </w:r>
    </w:p>
    <w:p>
      <w:pPr>
        <w:spacing w:line="594"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、磺胺类（总量）</w:t>
      </w:r>
    </w:p>
    <w:p>
      <w:pPr>
        <w:spacing w:line="594"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w:t>
      </w:r>
      <w:r>
        <w:rPr>
          <w:rFonts w:ascii="Times New Roman" w:hAnsi="Times New Roman" w:eastAsia="仿宋_GB2312" w:cs="Times New Roman"/>
          <w:sz w:val="32"/>
          <w:szCs w:val="32"/>
        </w:rPr>
        <w:t>100μg/kg</w:t>
      </w:r>
      <w:r>
        <w:rPr>
          <w:rFonts w:hint="eastAsia" w:ascii="Times New Roman" w:hAnsi="Times New Roman" w:eastAsia="仿宋_GB2312"/>
          <w:sz w:val="32"/>
          <w:szCs w:val="32"/>
        </w:rPr>
        <w:t>。淡水鱼中磺胺类（总量）残留量超标的原因，可能是在养殖过程中为快速控制疫病，违规加大用药量或不遵守休药期规定，</w:t>
      </w:r>
      <w:r>
        <w:rPr>
          <w:rFonts w:ascii="Times New Roman" w:hAnsi="Times New Roman" w:eastAsia="仿宋_GB2312" w:cs="Times New Roman"/>
          <w:sz w:val="32"/>
          <w:szCs w:val="32"/>
        </w:rPr>
        <w:t>致使</w:t>
      </w:r>
      <w:r>
        <w:rPr>
          <w:rFonts w:ascii="Times New Roman" w:hAnsi="Times New Roman" w:eastAsia="仿宋_GB2312"/>
          <w:sz w:val="32"/>
          <w:szCs w:val="32"/>
        </w:rPr>
        <w:t>上市销售产品</w:t>
      </w:r>
      <w:r>
        <w:rPr>
          <w:rFonts w:hint="eastAsia" w:ascii="Times New Roman" w:hAnsi="Times New Roman" w:eastAsia="仿宋_GB2312"/>
          <w:sz w:val="32"/>
          <w:szCs w:val="32"/>
        </w:rPr>
        <w:t>中的药物</w:t>
      </w:r>
      <w:r>
        <w:rPr>
          <w:rFonts w:ascii="Times New Roman" w:hAnsi="Times New Roman" w:eastAsia="仿宋_GB2312"/>
          <w:sz w:val="32"/>
          <w:szCs w:val="32"/>
        </w:rPr>
        <w:t>残留</w:t>
      </w:r>
      <w:r>
        <w:rPr>
          <w:rFonts w:hint="eastAsia" w:ascii="Times New Roman" w:hAnsi="Times New Roman" w:eastAsia="仿宋_GB2312"/>
          <w:sz w:val="32"/>
          <w:szCs w:val="32"/>
        </w:rPr>
        <w:t>量</w:t>
      </w:r>
      <w:r>
        <w:rPr>
          <w:rFonts w:ascii="Times New Roman" w:hAnsi="Times New Roman" w:eastAsia="仿宋_GB2312"/>
          <w:sz w:val="32"/>
          <w:szCs w:val="32"/>
        </w:rPr>
        <w:t>超标</w:t>
      </w:r>
      <w:r>
        <w:rPr>
          <w:rFonts w:hint="eastAsia" w:ascii="Times New Roman" w:hAnsi="Times New Roman" w:eastAsia="仿宋_GB2312"/>
          <w:sz w:val="32"/>
          <w:szCs w:val="32"/>
        </w:rPr>
        <w:t>。</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七</w:t>
      </w:r>
      <w:r>
        <w:rPr>
          <w:rFonts w:hint="eastAsia" w:ascii="Times New Roman" w:hAnsi="Times New Roman" w:eastAsia="黑体" w:cs="Times New Roman"/>
          <w:color w:val="000000"/>
          <w:sz w:val="32"/>
          <w:szCs w:val="32"/>
        </w:rPr>
        <w:t>、</w:t>
      </w:r>
      <w:r>
        <w:rPr>
          <w:rFonts w:ascii="Times New Roman" w:hAnsi="Times New Roman" w:eastAsia="黑体" w:cs="Times New Roman"/>
          <w:color w:val="000000"/>
          <w:sz w:val="32"/>
          <w:szCs w:val="32"/>
        </w:rPr>
        <w:t>亮蓝</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亮蓝又名食用蓝色2号，水溶性非偶氮类化合物，是常见的人工合成着色剂，在食品生产中应用广泛。如果长期摄入亮蓝超标的食品，存在致畸、致癌的可能性。《食品安全国家标准 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2014）中规定，凉果类</w:t>
      </w:r>
      <w:r>
        <w:rPr>
          <w:rFonts w:hint="eastAsia" w:ascii="Times New Roman" w:hAnsi="Times New Roman" w:eastAsia="仿宋_GB2312" w:cs="Times New Roman"/>
          <w:color w:val="000000"/>
          <w:sz w:val="32"/>
          <w:szCs w:val="32"/>
        </w:rPr>
        <w:t>蜜饯</w:t>
      </w:r>
      <w:r>
        <w:rPr>
          <w:rFonts w:ascii="Times New Roman" w:hAnsi="Times New Roman" w:eastAsia="仿宋_GB2312" w:cs="Times New Roman"/>
          <w:color w:val="000000"/>
          <w:sz w:val="32"/>
          <w:szCs w:val="32"/>
        </w:rPr>
        <w:t>中亮蓝的最大使用量为0.025g/kg。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中亮蓝检测值超标的原因，可能是生产过程中计量不准导致终产品亮蓝超标，也可能是生产企业为改善产品色泽、提高市场价值而过量使用。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八</w:t>
      </w:r>
      <w:r>
        <w:rPr>
          <w:rFonts w:ascii="Times New Roman" w:hAnsi="Times New Roman" w:eastAsia="黑体" w:cs="Times New Roman"/>
          <w:color w:val="000000"/>
          <w:sz w:val="32"/>
          <w:szCs w:val="32"/>
        </w:rPr>
        <w:t>、苋菜红</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苋菜红又名蓝光酸性红，偶氮类化合物，是常见的人工合成着色剂，在食品生产中应用广泛。如果长期摄入苋菜红超标的食品，存在致畸、致癌的可能性。《食品安全国家标准 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2014）中规定，蜜饯凉果中苋菜红的最大使用量为0.05g/kg。</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中苋菜红检测值超标的原因，可能是生产过程中计量不准导致终产品苋菜红超标，也可能是生产企业为改善产品色泽、提高市场价值而过量使用。</w:t>
      </w:r>
    </w:p>
    <w:p>
      <w:pPr>
        <w:adjustRightInd w:val="0"/>
        <w:snapToGrid w:val="0"/>
        <w:spacing w:line="594"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九</w:t>
      </w:r>
      <w:r>
        <w:rPr>
          <w:rFonts w:ascii="Times New Roman" w:hAnsi="Times New Roman" w:eastAsia="黑体" w:cs="Times New Roman"/>
          <w:color w:val="000000"/>
          <w:sz w:val="32"/>
          <w:szCs w:val="32"/>
        </w:rPr>
        <w:t>、相同色泽着色剂混合使用时各自用量占其最大使用量的比例之和</w:t>
      </w:r>
    </w:p>
    <w:p>
      <w:pPr>
        <w:adjustRightInd w:val="0"/>
        <w:snapToGrid w:val="0"/>
        <w:spacing w:line="594"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着色剂又称食用色素，用于赋予和改善食品的色泽。如果长期过量摄入，会加重肝脏和胃肠道的负担，对人体健康造成一定危害。《食品安全国家标准 食品添加剂使用标准》（GB 2760</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2014）中规定，相同色泽着色剂混合使用时各自用量占其最大使用量的比例之和不得超过1</w:t>
      </w:r>
      <w:r>
        <w:rPr>
          <w:rFonts w:hint="eastAsia" w:ascii="Times New Roman" w:hAnsi="Times New Roman" w:eastAsia="仿宋_GB2312" w:cs="Times New Roman"/>
          <w:color w:val="000000"/>
          <w:sz w:val="32"/>
          <w:szCs w:val="32"/>
        </w:rPr>
        <w:t>。凉果类蜜饯</w:t>
      </w:r>
      <w:r>
        <w:rPr>
          <w:rFonts w:ascii="Times New Roman" w:hAnsi="Times New Roman" w:eastAsia="仿宋_GB2312" w:cs="Times New Roman"/>
          <w:color w:val="000000"/>
          <w:sz w:val="32"/>
          <w:szCs w:val="32"/>
        </w:rPr>
        <w:t>中相同色泽着色剂混合使用时各自用量占其最大使用量的比例之和检测值超标的原因，可能是生产企业对食品安全国家标准不了解而超限量添加多种相同色泽着色剂，也可能是在生产加工过程中未严格控制各相同色泽着色剂的用量。</w:t>
      </w:r>
    </w:p>
    <w:p>
      <w:pPr>
        <w:adjustRightInd w:val="0"/>
        <w:snapToGrid w:val="0"/>
        <w:spacing w:line="594"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52446EE"/>
    <w:rsid w:val="00020497"/>
    <w:rsid w:val="00024C6D"/>
    <w:rsid w:val="00030128"/>
    <w:rsid w:val="00043432"/>
    <w:rsid w:val="000A1FB4"/>
    <w:rsid w:val="000C502F"/>
    <w:rsid w:val="000C6083"/>
    <w:rsid w:val="000D1C58"/>
    <w:rsid w:val="000D34F7"/>
    <w:rsid w:val="000E7CE4"/>
    <w:rsid w:val="000F010A"/>
    <w:rsid w:val="000F7117"/>
    <w:rsid w:val="0010216A"/>
    <w:rsid w:val="001220AD"/>
    <w:rsid w:val="0013226B"/>
    <w:rsid w:val="001727C1"/>
    <w:rsid w:val="00177381"/>
    <w:rsid w:val="001945AE"/>
    <w:rsid w:val="001A05F6"/>
    <w:rsid w:val="001A377A"/>
    <w:rsid w:val="001C1A51"/>
    <w:rsid w:val="001F4428"/>
    <w:rsid w:val="001F5BDC"/>
    <w:rsid w:val="00224CE0"/>
    <w:rsid w:val="0024004A"/>
    <w:rsid w:val="002A2616"/>
    <w:rsid w:val="002A3534"/>
    <w:rsid w:val="002D2E25"/>
    <w:rsid w:val="003234EF"/>
    <w:rsid w:val="003347AE"/>
    <w:rsid w:val="00336B1D"/>
    <w:rsid w:val="00350A4E"/>
    <w:rsid w:val="00362415"/>
    <w:rsid w:val="00375893"/>
    <w:rsid w:val="00390C6C"/>
    <w:rsid w:val="003A6C40"/>
    <w:rsid w:val="003B1570"/>
    <w:rsid w:val="003C27DE"/>
    <w:rsid w:val="003D4974"/>
    <w:rsid w:val="003F22EE"/>
    <w:rsid w:val="00416334"/>
    <w:rsid w:val="004235FD"/>
    <w:rsid w:val="00434D14"/>
    <w:rsid w:val="0049668F"/>
    <w:rsid w:val="004B4C0B"/>
    <w:rsid w:val="004C3F64"/>
    <w:rsid w:val="004F17CC"/>
    <w:rsid w:val="004F29AF"/>
    <w:rsid w:val="00504BA4"/>
    <w:rsid w:val="005557BE"/>
    <w:rsid w:val="00560DD5"/>
    <w:rsid w:val="00591B6C"/>
    <w:rsid w:val="005A1446"/>
    <w:rsid w:val="005B7CEF"/>
    <w:rsid w:val="005D0C45"/>
    <w:rsid w:val="005F5EA9"/>
    <w:rsid w:val="0062795C"/>
    <w:rsid w:val="00635DD9"/>
    <w:rsid w:val="006417C9"/>
    <w:rsid w:val="00653EDB"/>
    <w:rsid w:val="00662697"/>
    <w:rsid w:val="00681D0D"/>
    <w:rsid w:val="00687989"/>
    <w:rsid w:val="006E2F89"/>
    <w:rsid w:val="006F22C8"/>
    <w:rsid w:val="006F3B40"/>
    <w:rsid w:val="00725909"/>
    <w:rsid w:val="007535B9"/>
    <w:rsid w:val="00760BDF"/>
    <w:rsid w:val="007822C5"/>
    <w:rsid w:val="00784190"/>
    <w:rsid w:val="00792534"/>
    <w:rsid w:val="007D0852"/>
    <w:rsid w:val="007F6A2F"/>
    <w:rsid w:val="00811222"/>
    <w:rsid w:val="008270FB"/>
    <w:rsid w:val="008271F3"/>
    <w:rsid w:val="00895609"/>
    <w:rsid w:val="008A22C6"/>
    <w:rsid w:val="008C3F7A"/>
    <w:rsid w:val="008D0C6A"/>
    <w:rsid w:val="008D103D"/>
    <w:rsid w:val="008D3AA0"/>
    <w:rsid w:val="008F0056"/>
    <w:rsid w:val="008F6913"/>
    <w:rsid w:val="00903A84"/>
    <w:rsid w:val="00950CBE"/>
    <w:rsid w:val="00967245"/>
    <w:rsid w:val="00981C27"/>
    <w:rsid w:val="009941B3"/>
    <w:rsid w:val="009D56C5"/>
    <w:rsid w:val="009F42E5"/>
    <w:rsid w:val="009F75A8"/>
    <w:rsid w:val="00A0189E"/>
    <w:rsid w:val="00A12057"/>
    <w:rsid w:val="00A63D7A"/>
    <w:rsid w:val="00A72D59"/>
    <w:rsid w:val="00AE443A"/>
    <w:rsid w:val="00B02836"/>
    <w:rsid w:val="00B17403"/>
    <w:rsid w:val="00B46A7C"/>
    <w:rsid w:val="00B51861"/>
    <w:rsid w:val="00B56A64"/>
    <w:rsid w:val="00B613B9"/>
    <w:rsid w:val="00B734B6"/>
    <w:rsid w:val="00B755A6"/>
    <w:rsid w:val="00B82BD1"/>
    <w:rsid w:val="00B83167"/>
    <w:rsid w:val="00BA50EB"/>
    <w:rsid w:val="00BB234E"/>
    <w:rsid w:val="00C05D47"/>
    <w:rsid w:val="00C10FA4"/>
    <w:rsid w:val="00C31A45"/>
    <w:rsid w:val="00C82E32"/>
    <w:rsid w:val="00C95DA4"/>
    <w:rsid w:val="00CB0A28"/>
    <w:rsid w:val="00CD2658"/>
    <w:rsid w:val="00D026A1"/>
    <w:rsid w:val="00D221B8"/>
    <w:rsid w:val="00D550F5"/>
    <w:rsid w:val="00DA2AF4"/>
    <w:rsid w:val="00DB0F7D"/>
    <w:rsid w:val="00DB7633"/>
    <w:rsid w:val="00DB7982"/>
    <w:rsid w:val="00DD59C8"/>
    <w:rsid w:val="00DD7C24"/>
    <w:rsid w:val="00E01EB3"/>
    <w:rsid w:val="00E07B1F"/>
    <w:rsid w:val="00E16D89"/>
    <w:rsid w:val="00E5453C"/>
    <w:rsid w:val="00E651D8"/>
    <w:rsid w:val="00E721EF"/>
    <w:rsid w:val="00E73511"/>
    <w:rsid w:val="00E81D4E"/>
    <w:rsid w:val="00E90919"/>
    <w:rsid w:val="00EB0BB2"/>
    <w:rsid w:val="00EB1898"/>
    <w:rsid w:val="00EB2DC4"/>
    <w:rsid w:val="00EB3947"/>
    <w:rsid w:val="00ED0033"/>
    <w:rsid w:val="00EE4D2C"/>
    <w:rsid w:val="00EF197A"/>
    <w:rsid w:val="00EF616A"/>
    <w:rsid w:val="00F129A7"/>
    <w:rsid w:val="00F1663E"/>
    <w:rsid w:val="00F220A7"/>
    <w:rsid w:val="00F31C0E"/>
    <w:rsid w:val="00F407C3"/>
    <w:rsid w:val="00F748C1"/>
    <w:rsid w:val="00FA2106"/>
    <w:rsid w:val="00FA4809"/>
    <w:rsid w:val="00FB60C0"/>
    <w:rsid w:val="00FC7D96"/>
    <w:rsid w:val="028D1A14"/>
    <w:rsid w:val="03A414C8"/>
    <w:rsid w:val="043132CE"/>
    <w:rsid w:val="04B16515"/>
    <w:rsid w:val="052446EE"/>
    <w:rsid w:val="05462D97"/>
    <w:rsid w:val="0722265B"/>
    <w:rsid w:val="07A30962"/>
    <w:rsid w:val="0AAD48BF"/>
    <w:rsid w:val="0B437A81"/>
    <w:rsid w:val="0C2D133B"/>
    <w:rsid w:val="0E092D0B"/>
    <w:rsid w:val="0EC81837"/>
    <w:rsid w:val="0F5238B5"/>
    <w:rsid w:val="0FEB509E"/>
    <w:rsid w:val="103364D3"/>
    <w:rsid w:val="108233AD"/>
    <w:rsid w:val="10A511DC"/>
    <w:rsid w:val="10F93D79"/>
    <w:rsid w:val="111C434C"/>
    <w:rsid w:val="12076629"/>
    <w:rsid w:val="12FD4DF0"/>
    <w:rsid w:val="133001AE"/>
    <w:rsid w:val="134D526F"/>
    <w:rsid w:val="160A5910"/>
    <w:rsid w:val="178C1298"/>
    <w:rsid w:val="1A907481"/>
    <w:rsid w:val="1B3D7278"/>
    <w:rsid w:val="1D6C2FCD"/>
    <w:rsid w:val="1E0B5C9C"/>
    <w:rsid w:val="1FF5604A"/>
    <w:rsid w:val="2059449C"/>
    <w:rsid w:val="20BC665B"/>
    <w:rsid w:val="20C11697"/>
    <w:rsid w:val="21372698"/>
    <w:rsid w:val="22E67475"/>
    <w:rsid w:val="247A6FAA"/>
    <w:rsid w:val="249D47DC"/>
    <w:rsid w:val="259E23E3"/>
    <w:rsid w:val="269D741C"/>
    <w:rsid w:val="27584E00"/>
    <w:rsid w:val="294A7F7D"/>
    <w:rsid w:val="29F8276D"/>
    <w:rsid w:val="29FB7D70"/>
    <w:rsid w:val="2A53594F"/>
    <w:rsid w:val="2ABF7615"/>
    <w:rsid w:val="2AEB7548"/>
    <w:rsid w:val="2CE70F66"/>
    <w:rsid w:val="2E4243E1"/>
    <w:rsid w:val="2F9B35E3"/>
    <w:rsid w:val="2FDD066F"/>
    <w:rsid w:val="30730D18"/>
    <w:rsid w:val="308001C6"/>
    <w:rsid w:val="31252E3F"/>
    <w:rsid w:val="31FD11FC"/>
    <w:rsid w:val="34DB4439"/>
    <w:rsid w:val="34F97B15"/>
    <w:rsid w:val="35677833"/>
    <w:rsid w:val="36256509"/>
    <w:rsid w:val="36AD5E36"/>
    <w:rsid w:val="36BB4D35"/>
    <w:rsid w:val="377265F5"/>
    <w:rsid w:val="39673EBA"/>
    <w:rsid w:val="3A4A0926"/>
    <w:rsid w:val="3C2512EE"/>
    <w:rsid w:val="3C4D2E8B"/>
    <w:rsid w:val="3C81270D"/>
    <w:rsid w:val="3ED05834"/>
    <w:rsid w:val="3EF229BA"/>
    <w:rsid w:val="408B4949"/>
    <w:rsid w:val="4236267D"/>
    <w:rsid w:val="42BC2694"/>
    <w:rsid w:val="44921DE2"/>
    <w:rsid w:val="45562D9B"/>
    <w:rsid w:val="463A646A"/>
    <w:rsid w:val="46CC3297"/>
    <w:rsid w:val="471E6356"/>
    <w:rsid w:val="48CD06B6"/>
    <w:rsid w:val="48D63B60"/>
    <w:rsid w:val="495138DA"/>
    <w:rsid w:val="49B00079"/>
    <w:rsid w:val="4ADC5E51"/>
    <w:rsid w:val="4C544655"/>
    <w:rsid w:val="4CA036CC"/>
    <w:rsid w:val="4CB7255F"/>
    <w:rsid w:val="4D2968B7"/>
    <w:rsid w:val="4D5B1BD1"/>
    <w:rsid w:val="4D96357F"/>
    <w:rsid w:val="4E9A6A93"/>
    <w:rsid w:val="4ED53EED"/>
    <w:rsid w:val="4EFB0F58"/>
    <w:rsid w:val="4F69410F"/>
    <w:rsid w:val="51BC1E2A"/>
    <w:rsid w:val="52FD335B"/>
    <w:rsid w:val="54544D6D"/>
    <w:rsid w:val="56A276D0"/>
    <w:rsid w:val="57B03788"/>
    <w:rsid w:val="5917309A"/>
    <w:rsid w:val="592526F4"/>
    <w:rsid w:val="59D04F91"/>
    <w:rsid w:val="5B035A3A"/>
    <w:rsid w:val="5BE41C7F"/>
    <w:rsid w:val="5C435B8D"/>
    <w:rsid w:val="5D3C5BA5"/>
    <w:rsid w:val="5DA1645E"/>
    <w:rsid w:val="5E38554B"/>
    <w:rsid w:val="5E5431CD"/>
    <w:rsid w:val="63213BB4"/>
    <w:rsid w:val="63BA5678"/>
    <w:rsid w:val="64165519"/>
    <w:rsid w:val="64CE046B"/>
    <w:rsid w:val="64D82E8B"/>
    <w:rsid w:val="676770CE"/>
    <w:rsid w:val="679E2A0F"/>
    <w:rsid w:val="6BC54056"/>
    <w:rsid w:val="6C8F263F"/>
    <w:rsid w:val="6E0D279D"/>
    <w:rsid w:val="71052DB8"/>
    <w:rsid w:val="71346E5A"/>
    <w:rsid w:val="728D7A35"/>
    <w:rsid w:val="735D6752"/>
    <w:rsid w:val="743531C2"/>
    <w:rsid w:val="743B3E91"/>
    <w:rsid w:val="751C7E3C"/>
    <w:rsid w:val="755B63EB"/>
    <w:rsid w:val="75A22D1B"/>
    <w:rsid w:val="77DD70DB"/>
    <w:rsid w:val="78FB4BB6"/>
    <w:rsid w:val="7A7226AF"/>
    <w:rsid w:val="7B0C1162"/>
    <w:rsid w:val="7B344CA7"/>
    <w:rsid w:val="7BAF49F6"/>
    <w:rsid w:val="7C3B5127"/>
    <w:rsid w:val="7D9B6771"/>
    <w:rsid w:val="7F056143"/>
    <w:rsid w:val="7F362E0C"/>
    <w:rsid w:val="7F3A6B56"/>
    <w:rsid w:val="7F7F5721"/>
    <w:rsid w:val="7FBE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Indent"/>
    <w:basedOn w:val="1"/>
    <w:link w:val="10"/>
    <w:qFormat/>
    <w:uiPriority w:val="0"/>
    <w:pPr>
      <w:spacing w:after="120"/>
      <w:ind w:left="420" w:leftChars="200"/>
    </w:pPr>
  </w:style>
  <w:style w:type="paragraph" w:styleId="3">
    <w:name w:val="Balloon Text"/>
    <w:basedOn w:val="1"/>
    <w:link w:val="11"/>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Body Text First Indent 2"/>
    <w:basedOn w:val="2"/>
    <w:link w:val="14"/>
    <w:qFormat/>
    <w:uiPriority w:val="0"/>
    <w:pPr>
      <w:adjustRightInd w:val="0"/>
      <w:ind w:left="0" w:leftChars="0" w:firstLine="880" w:firstLineChars="200"/>
    </w:pPr>
    <w:rPr>
      <w:rFonts w:ascii="Calibri" w:hAnsi="Calibri" w:eastAsia="仿宋" w:cs="Times New Roman"/>
      <w:sz w:val="32"/>
    </w:rPr>
  </w:style>
  <w:style w:type="character" w:customStyle="1" w:styleId="10">
    <w:name w:val="正文文本缩进 Char"/>
    <w:basedOn w:val="9"/>
    <w:link w:val="2"/>
    <w:qFormat/>
    <w:uiPriority w:val="0"/>
    <w:rPr>
      <w:rFonts w:ascii="Calibri" w:hAnsi="Calibri" w:eastAsia="宋体" w:cs="Times New Roman"/>
      <w:kern w:val="2"/>
      <w:sz w:val="21"/>
      <w:szCs w:val="22"/>
    </w:rPr>
  </w:style>
  <w:style w:type="character" w:customStyle="1" w:styleId="11">
    <w:name w:val="批注框文本 Char"/>
    <w:basedOn w:val="9"/>
    <w:link w:val="3"/>
    <w:qFormat/>
    <w:uiPriority w:val="0"/>
    <w:rPr>
      <w:rFonts w:ascii="Calibri" w:hAnsi="Calibri" w:eastAsia="宋体" w:cs="Times New Roman"/>
      <w:kern w:val="2"/>
      <w:sz w:val="18"/>
      <w:szCs w:val="18"/>
    </w:rPr>
  </w:style>
  <w:style w:type="character" w:customStyle="1" w:styleId="12">
    <w:name w:val="页脚 Char"/>
    <w:basedOn w:val="9"/>
    <w:link w:val="4"/>
    <w:qFormat/>
    <w:uiPriority w:val="99"/>
    <w:rPr>
      <w:rFonts w:ascii="Calibri" w:hAnsi="Calibri" w:eastAsia="宋体" w:cs="Times New Roman"/>
      <w:kern w:val="2"/>
      <w:sz w:val="18"/>
      <w:szCs w:val="18"/>
    </w:rPr>
  </w:style>
  <w:style w:type="character" w:customStyle="1" w:styleId="13">
    <w:name w:val="页眉 Char"/>
    <w:basedOn w:val="9"/>
    <w:link w:val="5"/>
    <w:qFormat/>
    <w:uiPriority w:val="0"/>
    <w:rPr>
      <w:rFonts w:ascii="Calibri" w:hAnsi="Calibri" w:eastAsia="宋体" w:cs="Times New Roman"/>
      <w:kern w:val="2"/>
      <w:sz w:val="18"/>
      <w:szCs w:val="18"/>
    </w:rPr>
  </w:style>
  <w:style w:type="character" w:customStyle="1" w:styleId="14">
    <w:name w:val="正文首行缩进 2 Char"/>
    <w:basedOn w:val="10"/>
    <w:link w:val="7"/>
    <w:qFormat/>
    <w:uiPriority w:val="0"/>
    <w:rPr>
      <w:rFonts w:ascii="Calibri" w:hAnsi="Calibri" w:eastAsia="仿宋" w:cs="Times New Roman"/>
      <w:kern w:val="2"/>
      <w:sz w:val="32"/>
      <w:szCs w:val="22"/>
    </w:rPr>
  </w:style>
  <w:style w:type="paragraph" w:customStyle="1" w:styleId="15">
    <w:name w:val="列出段落2"/>
    <w:basedOn w:val="1"/>
    <w:qFormat/>
    <w:uiPriority w:val="34"/>
    <w:pPr>
      <w:ind w:firstLine="420" w:firstLineChars="200"/>
    </w:pPr>
  </w:style>
  <w:style w:type="paragraph" w:styleId="16">
    <w:name w:val="List Paragraph"/>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479</Words>
  <Characters>2732</Characters>
  <Lines>22</Lines>
  <Paragraphs>6</Paragraphs>
  <TotalTime>446</TotalTime>
  <ScaleCrop>false</ScaleCrop>
  <LinksUpToDate>false</LinksUpToDate>
  <CharactersWithSpaces>3205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2021-01-12T01:57:00Z</dcterms:created>
  <dc:creator>ywk-rx</dc:creator>
  <cp:lastModifiedBy>赵爽</cp:lastModifiedBy>
  <cp:lastPrinted>2021-06-08T02:30:00Z</cp:lastPrinted>
  <dcterms:modified xsi:type="dcterms:W3CDTF">2021-10-25T01:26:49Z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D24194D9B8E64A5DBB0672D430152856</vt:lpwstr>
  </property>
</Properties>
</file>