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4" w:lineRule="atLeast"/>
        <w:ind w:leftChars="0"/>
        <w:textAlignment w:val="auto"/>
        <w:rPr>
          <w:rFonts w:ascii="黑体" w:hAnsi="黑体" w:eastAsia="黑体" w:cs="黑体"/>
          <w:spacing w:val="-12"/>
          <w:sz w:val="44"/>
          <w:szCs w:val="44"/>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snapToGrid/>
        <w:spacing w:line="594" w:lineRule="atLeast"/>
        <w:ind w:leftChars="0"/>
        <w:jc w:val="center"/>
        <w:textAlignment w:val="auto"/>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部分不合格检验项目小知识</w:t>
      </w:r>
    </w:p>
    <w:p>
      <w:pPr>
        <w:keepNext w:val="0"/>
        <w:keepLines w:val="0"/>
        <w:pageBreakBefore w:val="0"/>
        <w:widowControl w:val="0"/>
        <w:kinsoku/>
        <w:wordWrap/>
        <w:overflowPunct/>
        <w:topLinePunct w:val="0"/>
        <w:autoSpaceDE/>
        <w:autoSpaceDN/>
        <w:bidi w:val="0"/>
        <w:snapToGrid/>
        <w:spacing w:line="594" w:lineRule="atLeast"/>
        <w:ind w:lef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94" w:lineRule="exact"/>
        <w:ind w:firstLine="640" w:firstLineChars="200"/>
        <w:rPr>
          <w:rFonts w:eastAsia="黑体"/>
          <w:spacing w:val="0"/>
          <w:sz w:val="32"/>
          <w:szCs w:val="32"/>
        </w:rPr>
      </w:pPr>
      <w:r>
        <w:rPr>
          <w:rFonts w:hint="eastAsia" w:ascii="黑体" w:hAnsi="黑体" w:eastAsia="黑体" w:cs="Times New Roman"/>
          <w:spacing w:val="0"/>
          <w:sz w:val="32"/>
          <w:szCs w:val="32"/>
          <w:lang w:val="en-US" w:eastAsia="zh-CN"/>
        </w:rPr>
        <w:t>一</w:t>
      </w:r>
      <w:r>
        <w:rPr>
          <w:rFonts w:hint="eastAsia" w:ascii="黑体" w:hAnsi="黑体" w:eastAsia="黑体" w:cs="Times New Roman"/>
          <w:spacing w:val="0"/>
          <w:sz w:val="32"/>
          <w:szCs w:val="32"/>
        </w:rPr>
        <w:t>、</w:t>
      </w:r>
      <w:r>
        <w:rPr>
          <w:rFonts w:hint="eastAsia" w:ascii="Times New Roman" w:hAnsi="Times New Roman" w:eastAsia="黑体"/>
          <w:spacing w:val="0"/>
          <w:sz w:val="32"/>
          <w:szCs w:val="32"/>
        </w:rPr>
        <w:t>霉菌</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ascii="Times New Roman" w:hAnsi="Times New Roman" w:eastAsia="仿宋_GB2312"/>
          <w:spacing w:val="0"/>
          <w:sz w:val="32"/>
          <w:szCs w:val="32"/>
        </w:rPr>
      </w:pPr>
      <w:r>
        <w:rPr>
          <w:rFonts w:hint="eastAsia" w:ascii="Times New Roman" w:hAnsi="Times New Roman" w:eastAsia="仿宋_GB2312"/>
          <w:spacing w:val="0"/>
          <w:sz w:val="32"/>
          <w:szCs w:val="32"/>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食品安全国家标准 冲调谷物制品》（GB 19640</w:t>
      </w:r>
      <w:r>
        <w:rPr>
          <w:rFonts w:hint="eastAsia" w:eastAsia="仿宋_GB2312"/>
          <w:kern w:val="0"/>
          <w:sz w:val="32"/>
          <w:szCs w:val="32"/>
        </w:rPr>
        <w:t>—</w:t>
      </w:r>
      <w:r>
        <w:rPr>
          <w:rFonts w:hint="eastAsia" w:ascii="Times New Roman" w:hAnsi="Times New Roman" w:eastAsia="仿宋_GB2312"/>
          <w:spacing w:val="0"/>
          <w:sz w:val="32"/>
          <w:szCs w:val="32"/>
        </w:rPr>
        <w:t>2016）中规定，冲调谷物制品</w:t>
      </w:r>
      <w:r>
        <w:rPr>
          <w:rFonts w:ascii="Times New Roman" w:hAnsi="Times New Roman" w:eastAsia="仿宋_GB2312" w:cs="Times New Roman"/>
          <w:sz w:val="32"/>
          <w:szCs w:val="32"/>
        </w:rPr>
        <w:t>同一批次产品5个样品的</w:t>
      </w:r>
      <w:r>
        <w:rPr>
          <w:rFonts w:hint="eastAsia" w:ascii="Times New Roman" w:hAnsi="Times New Roman" w:eastAsia="仿宋_GB2312" w:cs="Times New Roman"/>
          <w:sz w:val="32"/>
          <w:szCs w:val="32"/>
          <w:lang w:val="en-US" w:eastAsia="zh-CN"/>
        </w:rPr>
        <w:t>霉菌</w:t>
      </w:r>
      <w:r>
        <w:rPr>
          <w:rFonts w:ascii="Times New Roman" w:hAnsi="Times New Roman" w:eastAsia="仿宋_GB2312" w:cs="Times New Roman"/>
          <w:sz w:val="32"/>
          <w:szCs w:val="32"/>
        </w:rPr>
        <w:t>检测结果均不得超过10</w:t>
      </w:r>
      <w:r>
        <w:rPr>
          <w:rFonts w:hint="eastAsia" w:ascii="Times New Roman" w:hAnsi="Times New Roman" w:eastAsia="仿宋_GB2312" w:cs="Times New Roman"/>
          <w:sz w:val="32"/>
          <w:szCs w:val="32"/>
          <w:vertAlign w:val="superscript"/>
          <w:lang w:val="en-US" w:eastAsia="zh-CN"/>
        </w:rPr>
        <w:t>2</w:t>
      </w:r>
      <w:r>
        <w:rPr>
          <w:rFonts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ascii="Times New Roman" w:hAnsi="Times New Roman" w:eastAsia="仿宋_GB2312" w:cs="Times New Roman"/>
          <w:sz w:val="32"/>
          <w:szCs w:val="32"/>
        </w:rPr>
        <w:t>，且最多允许2个样品的</w:t>
      </w:r>
      <w:r>
        <w:rPr>
          <w:rFonts w:ascii="Times New Roman" w:hAnsi="Times New Roman" w:eastAsia="仿宋_GB2312" w:cs="Times New Roman"/>
          <w:color w:val="000000"/>
          <w:sz w:val="32"/>
          <w:szCs w:val="32"/>
        </w:rPr>
        <w:t>检测结果超过</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ascii="Times New Roman" w:hAnsi="Times New Roman" w:eastAsia="仿宋_GB2312" w:cs="Times New Roman"/>
          <w:sz w:val="32"/>
          <w:szCs w:val="32"/>
        </w:rPr>
        <w:t>。</w:t>
      </w:r>
      <w:r>
        <w:rPr>
          <w:rFonts w:hint="eastAsia" w:ascii="Times New Roman" w:hAnsi="Times New Roman" w:eastAsia="仿宋_GB2312"/>
          <w:spacing w:val="0"/>
          <w:sz w:val="32"/>
          <w:szCs w:val="32"/>
        </w:rPr>
        <w:t>冲调谷物制品中霉菌数超标的原因，可能是原料或包装材料受到霉菌污染，也可能是产品在生产加工过程中卫生条件控制不到位，还可能与产品储运条件不当有关。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napToGrid/>
        <w:spacing w:line="594" w:lineRule="exact"/>
        <w:ind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菌落总数</w:t>
      </w:r>
    </w:p>
    <w:p>
      <w:pPr>
        <w:keepNext w:val="0"/>
        <w:keepLines w:val="0"/>
        <w:pageBreakBefore w:val="0"/>
        <w:widowControl w:val="0"/>
        <w:kinsoku/>
        <w:wordWrap/>
        <w:overflowPunct/>
        <w:topLinePunct w:val="0"/>
        <w:autoSpaceDN/>
        <w:bidi w:val="0"/>
        <w:spacing w:line="594"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蜜饯》（GB 14884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2016）中规定，蜜饯类中</w:t>
      </w:r>
      <w:r>
        <w:rPr>
          <w:rFonts w:hint="eastAsia" w:ascii="Times New Roman" w:hAnsi="Times New Roman" w:eastAsia="仿宋_GB2312" w:cs="Times New Roman"/>
          <w:sz w:val="32"/>
          <w:szCs w:val="32"/>
          <w:lang w:eastAsia="zh-CN"/>
        </w:rPr>
        <w:t>同一批次产品</w:t>
      </w:r>
      <w:r>
        <w:rPr>
          <w:rFonts w:hint="eastAsia" w:ascii="Times New Roman" w:hAnsi="Times New Roman" w:eastAsia="仿宋_GB2312" w:cs="Times New Roman"/>
          <w:sz w:val="32"/>
          <w:szCs w:val="32"/>
          <w:lang w:val="en-US" w:eastAsia="zh-CN"/>
        </w:rPr>
        <w:t>5个样品的</w:t>
      </w:r>
      <w:r>
        <w:rPr>
          <w:rFonts w:hint="default" w:ascii="Times New Roman" w:hAnsi="Times New Roman" w:eastAsia="仿宋_GB2312" w:cs="Times New Roman"/>
          <w:sz w:val="32"/>
          <w:szCs w:val="32"/>
          <w:lang w:eastAsia="zh-CN"/>
        </w:rPr>
        <w:t>菌落总数检测结果均不得超过10</w:t>
      </w:r>
      <w:r>
        <w:rPr>
          <w:rFonts w:hint="default" w:ascii="Times New Roman" w:hAnsi="Times New Roman" w:eastAsia="仿宋_GB2312" w:cs="Times New Roman"/>
          <w:sz w:val="32"/>
          <w:szCs w:val="32"/>
          <w:vertAlign w:val="superscript"/>
          <w:lang w:eastAsia="zh-CN"/>
        </w:rPr>
        <w:t>4</w:t>
      </w:r>
      <w:r>
        <w:rPr>
          <w:rFonts w:hint="default" w:ascii="Times New Roman" w:hAnsi="Times New Roman" w:eastAsia="仿宋_GB2312" w:cs="Times New Roman"/>
          <w:sz w:val="32"/>
          <w:szCs w:val="32"/>
          <w:lang w:eastAsia="zh-CN"/>
        </w:rPr>
        <w:t>CFU/g，且至少3次检测结果不超过10</w:t>
      </w:r>
      <w:r>
        <w:rPr>
          <w:rFonts w:hint="default" w:ascii="Times New Roman" w:hAnsi="Times New Roman" w:eastAsia="仿宋_GB2312" w:cs="Times New Roman"/>
          <w:sz w:val="32"/>
          <w:szCs w:val="32"/>
          <w:vertAlign w:val="superscript"/>
          <w:lang w:eastAsia="zh-CN"/>
        </w:rPr>
        <w:t>3</w:t>
      </w:r>
      <w:r>
        <w:rPr>
          <w:rFonts w:hint="default" w:ascii="Times New Roman" w:hAnsi="Times New Roman" w:eastAsia="仿宋_GB2312" w:cs="Times New Roman"/>
          <w:sz w:val="32"/>
          <w:szCs w:val="32"/>
          <w:lang w:eastAsia="zh-CN"/>
        </w:rPr>
        <w:t>CFU/g。</w:t>
      </w:r>
      <w:r>
        <w:rPr>
          <w:rFonts w:ascii="Times New Roman" w:hAnsi="Times New Roman" w:eastAsia="仿宋_GB2312" w:cs="Times New Roman"/>
          <w:sz w:val="32"/>
          <w:szCs w:val="32"/>
        </w:rPr>
        <w:t xml:space="preserve">《食品安全国家标准 </w:t>
      </w:r>
      <w:r>
        <w:rPr>
          <w:rFonts w:hint="eastAsia" w:ascii="Times New Roman" w:hAnsi="Times New Roman" w:eastAsia="仿宋_GB2312" w:cs="Times New Roman"/>
          <w:sz w:val="32"/>
          <w:szCs w:val="32"/>
        </w:rPr>
        <w:t>食用</w:t>
      </w:r>
      <w:r>
        <w:rPr>
          <w:rFonts w:ascii="Times New Roman" w:hAnsi="Times New Roman" w:eastAsia="仿宋_GB2312" w:cs="Times New Roman"/>
          <w:sz w:val="32"/>
          <w:szCs w:val="32"/>
        </w:rPr>
        <w:t xml:space="preserve">淀粉》（GB </w:t>
      </w:r>
      <w:r>
        <w:rPr>
          <w:rFonts w:hint="eastAsia" w:ascii="Times New Roman" w:hAnsi="Times New Roman" w:eastAsia="仿宋_GB2312" w:cs="Times New Roman"/>
          <w:sz w:val="32"/>
          <w:szCs w:val="32"/>
        </w:rPr>
        <w:t>31637—</w:t>
      </w:r>
      <w:r>
        <w:rPr>
          <w:rFonts w:ascii="Times New Roman" w:hAnsi="Times New Roman" w:eastAsia="仿宋_GB2312" w:cs="Times New Roman"/>
          <w:sz w:val="32"/>
          <w:szCs w:val="32"/>
        </w:rPr>
        <w:t>2016）中规定，食用淀粉</w:t>
      </w:r>
      <w:r>
        <w:rPr>
          <w:rFonts w:hint="eastAsia" w:ascii="Times New Roman" w:hAnsi="Times New Roman" w:eastAsia="仿宋_GB2312" w:cs="Times New Roman"/>
          <w:sz w:val="32"/>
          <w:szCs w:val="32"/>
          <w:lang w:val="en-US" w:eastAsia="zh-CN"/>
        </w:rPr>
        <w:t>同一批次产品5个样品的</w:t>
      </w:r>
      <w:r>
        <w:rPr>
          <w:rFonts w:hint="eastAsia" w:ascii="Times New Roman" w:hAnsi="Times New Roman" w:eastAsia="仿宋_GB2312" w:cs="Times New Roman"/>
          <w:sz w:val="32"/>
          <w:szCs w:val="32"/>
          <w:lang w:eastAsia="zh-CN"/>
        </w:rPr>
        <w:t>菌落总数</w:t>
      </w:r>
      <w:r>
        <w:rPr>
          <w:rFonts w:ascii="Times New Roman" w:hAnsi="Times New Roman" w:eastAsia="仿宋_GB2312" w:cs="Times New Roman"/>
          <w:sz w:val="32"/>
          <w:szCs w:val="32"/>
        </w:rPr>
        <w:t>检测结果均不得超过10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CFU/g，且</w:t>
      </w:r>
      <w:r>
        <w:rPr>
          <w:rFonts w:hint="eastAsia" w:ascii="Times New Roman" w:hAnsi="Times New Roman" w:eastAsia="仿宋_GB2312" w:cs="Times New Roman"/>
          <w:sz w:val="32"/>
          <w:szCs w:val="32"/>
          <w:lang w:val="en-US" w:eastAsia="zh-CN"/>
        </w:rPr>
        <w:t>最多允许2个样品的</w:t>
      </w:r>
      <w:r>
        <w:rPr>
          <w:rFonts w:ascii="Times New Roman" w:hAnsi="Times New Roman" w:eastAsia="仿宋_GB2312" w:cs="Times New Roman"/>
          <w:sz w:val="32"/>
          <w:szCs w:val="32"/>
        </w:rPr>
        <w:t>检测结果超过10</w:t>
      </w:r>
      <w:r>
        <w:rPr>
          <w:rFonts w:ascii="Times New Roman" w:hAnsi="Times New Roman" w:eastAsia="仿宋_GB2312" w:cs="Times New Roman"/>
          <w:sz w:val="32"/>
          <w:szCs w:val="32"/>
          <w:vertAlign w:val="superscript"/>
        </w:rPr>
        <w:t>4</w:t>
      </w:r>
      <w:r>
        <w:rPr>
          <w:rFonts w:ascii="Times New Roman" w:hAnsi="Times New Roman" w:eastAsia="仿宋_GB2312" w:cs="Times New Roman"/>
          <w:sz w:val="32"/>
          <w:szCs w:val="32"/>
        </w:rPr>
        <w:t>CFU/g。</w:t>
      </w:r>
      <w:r>
        <w:rPr>
          <w:rFonts w:hint="eastAsia" w:ascii="Times New Roman" w:hAnsi="Times New Roman" w:eastAsia="仿宋_GB2312" w:cs="Times New Roman"/>
          <w:sz w:val="32"/>
          <w:szCs w:val="32"/>
          <w:lang w:eastAsia="zh-CN"/>
        </w:rPr>
        <w:t>《食品安全国家标准 藻类及其制品》（GB 19643—2016）中规定，即食藻类制品中同一批次产品5个样品的菌落总数检测结果均不得超过10</w:t>
      </w:r>
      <w:r>
        <w:rPr>
          <w:rFonts w:hint="eastAsia" w:ascii="Times New Roman" w:hAnsi="Times New Roman" w:eastAsia="仿宋_GB2312" w:cs="Times New Roman"/>
          <w:sz w:val="32"/>
          <w:szCs w:val="32"/>
          <w:vertAlign w:val="superscript"/>
          <w:lang w:eastAsia="zh-CN"/>
        </w:rPr>
        <w:t>5</w:t>
      </w:r>
      <w:r>
        <w:rPr>
          <w:rFonts w:hint="eastAsia" w:ascii="Times New Roman" w:hAnsi="Times New Roman" w:eastAsia="仿宋_GB2312" w:cs="Times New Roman"/>
          <w:sz w:val="32"/>
          <w:szCs w:val="32"/>
          <w:lang w:eastAsia="zh-CN"/>
        </w:rPr>
        <w:t>CFU/g，且最多允许2个样品的检测结果超过</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×10</w:t>
      </w:r>
      <w:r>
        <w:rPr>
          <w:rFonts w:hint="default" w:ascii="Times New Roman" w:hAnsi="Times New Roman" w:eastAsia="仿宋_GB2312" w:cs="Times New Roman"/>
          <w:sz w:val="32"/>
          <w:szCs w:val="32"/>
          <w:vertAlign w:val="superscript"/>
          <w:lang w:eastAsia="zh-CN"/>
        </w:rPr>
        <w:t>4</w:t>
      </w:r>
      <w:r>
        <w:rPr>
          <w:rFonts w:hint="default" w:ascii="Times New Roman" w:hAnsi="Times New Roman" w:eastAsia="仿宋_GB2312" w:cs="Times New Roman"/>
          <w:sz w:val="32"/>
          <w:szCs w:val="32"/>
          <w:lang w:eastAsia="zh-CN"/>
        </w:rPr>
        <w:t>CFU/g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蜜饯类</w:t>
      </w:r>
      <w:r>
        <w:rPr>
          <w:rFonts w:hint="eastAsia" w:ascii="Times New Roman" w:hAnsi="Times New Roman" w:eastAsia="仿宋_GB2312" w:cs="Times New Roman"/>
          <w:sz w:val="32"/>
          <w:szCs w:val="32"/>
          <w:lang w:eastAsia="zh-CN"/>
        </w:rPr>
        <w:t>、食用淀粉、</w:t>
      </w:r>
      <w:r>
        <w:rPr>
          <w:rFonts w:hint="eastAsia" w:eastAsia="仿宋_GB2312"/>
          <w:sz w:val="32"/>
          <w:szCs w:val="32"/>
          <w:lang w:eastAsia="zh-CN"/>
        </w:rPr>
        <w:t>即食藻类制品</w:t>
      </w:r>
      <w:r>
        <w:rPr>
          <w:rFonts w:hint="default" w:ascii="Times New Roman" w:hAnsi="Times New Roman" w:eastAsia="仿宋_GB2312" w:cs="Times New Roman"/>
          <w:sz w:val="32"/>
          <w:szCs w:val="32"/>
          <w:lang w:eastAsia="zh-CN"/>
        </w:rPr>
        <w:t>中菌落总数</w:t>
      </w:r>
      <w:r>
        <w:rPr>
          <w:rFonts w:hint="eastAsia" w:ascii="Times New Roman" w:hAnsi="Times New Roman" w:eastAsia="仿宋_GB2312" w:cs="Times New Roman"/>
          <w:sz w:val="32"/>
          <w:szCs w:val="32"/>
          <w:lang w:val="en-US" w:eastAsia="zh-CN"/>
        </w:rPr>
        <w:t>超标的原因</w:t>
      </w:r>
      <w:r>
        <w:rPr>
          <w:rFonts w:hint="default" w:ascii="Times New Roman" w:hAnsi="Times New Roman" w:eastAsia="仿宋_GB2312" w:cs="Times New Roman"/>
          <w:sz w:val="32"/>
          <w:szCs w:val="32"/>
          <w:lang w:eastAsia="zh-CN"/>
        </w:rPr>
        <w:t>，可能是企业未按要求严格控制生产加工过程的卫生条件，也可能与产品包装密封不严或储运条件不当等有关。</w:t>
      </w:r>
    </w:p>
    <w:p>
      <w:pPr>
        <w:keepNext w:val="0"/>
        <w:keepLines w:val="0"/>
        <w:pageBreakBefore w:val="0"/>
        <w:widowControl w:val="0"/>
        <w:kinsoku/>
        <w:wordWrap/>
        <w:overflowPunct/>
        <w:topLinePunct w:val="0"/>
        <w:autoSpaceDN/>
        <w:bidi w:val="0"/>
        <w:spacing w:line="594" w:lineRule="exact"/>
        <w:ind w:firstLine="592" w:firstLineChars="200"/>
        <w:rPr>
          <w:rFonts w:eastAsia="黑体"/>
          <w:spacing w:val="-12"/>
          <w:sz w:val="32"/>
          <w:szCs w:val="32"/>
        </w:rPr>
      </w:pPr>
      <w:r>
        <w:rPr>
          <w:rFonts w:hint="eastAsia" w:eastAsia="黑体"/>
          <w:spacing w:val="-12"/>
          <w:sz w:val="32"/>
          <w:szCs w:val="32"/>
          <w:lang w:val="en-US" w:eastAsia="zh-CN"/>
        </w:rPr>
        <w:t>三</w:t>
      </w:r>
      <w:r>
        <w:rPr>
          <w:rFonts w:hint="eastAsia" w:eastAsia="黑体"/>
          <w:spacing w:val="-12"/>
          <w:sz w:val="32"/>
          <w:szCs w:val="32"/>
        </w:rPr>
        <w:t>、呋喃西林代谢物</w:t>
      </w:r>
    </w:p>
    <w:p>
      <w:pPr>
        <w:keepNext w:val="0"/>
        <w:keepLines w:val="0"/>
        <w:pageBreakBefore w:val="0"/>
        <w:widowControl w:val="0"/>
        <w:kinsoku/>
        <w:wordWrap/>
        <w:overflowPunct/>
        <w:topLinePunct w:val="0"/>
        <w:autoSpaceDN/>
        <w:bidi w:val="0"/>
        <w:spacing w:line="594" w:lineRule="exact"/>
        <w:ind w:firstLine="640" w:firstLineChars="200"/>
        <w:rPr>
          <w:rFonts w:hint="eastAsia" w:ascii="Times New Roman" w:hAnsi="Times New Roman" w:eastAsia="黑体" w:cs="Times New Roman"/>
          <w:sz w:val="32"/>
          <w:szCs w:val="32"/>
          <w:lang w:val="en-US" w:eastAsia="zh-CN"/>
        </w:rPr>
      </w:pPr>
      <w:r>
        <w:rPr>
          <w:rFonts w:hint="eastAsia" w:eastAsia="仿宋_GB2312"/>
          <w:sz w:val="32"/>
          <w:szCs w:val="32"/>
        </w:rPr>
        <w:t>呋喃西林是硝基呋喃类抗菌药，具有抗菌谱广等特点。硝基呋喃类原型药在生物体内代谢迅速，其代谢物和蛋白质结合后稳定，故检测其代谢物可反映硝基呋喃类药物的残留状况。长期大量摄入含有呋喃西林代谢物的食品，其可能在人体内蓄积，引起过敏反应、胃肠道反应、嗜酸性白细胞增多症、神经症状及多发性末梢神经</w:t>
      </w:r>
      <w:r>
        <w:rPr>
          <w:rFonts w:hint="default" w:ascii="Times New Roman" w:hAnsi="Times New Roman" w:eastAsia="仿宋_GB2312" w:cs="Times New Roman"/>
          <w:sz w:val="32"/>
          <w:szCs w:val="32"/>
        </w:rPr>
        <w:t>炎等。《食品动物中禁止使用的药品及其他化合物清单》（农业农村部公告</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第250号）规定，呋喃西林为食品动物中禁止使用的药品，即在动物性食品中不得检出呋喃西林代谢物。蜂蜜中检出</w:t>
      </w:r>
      <w:r>
        <w:rPr>
          <w:rFonts w:hint="eastAsia" w:eastAsia="仿宋_GB2312"/>
          <w:sz w:val="32"/>
          <w:szCs w:val="32"/>
        </w:rPr>
        <w:t>呋喃西林代谢物的原因，可能是蜂农在养殖中违规使用。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、糖精钠（以糖精计）</w:t>
      </w:r>
    </w:p>
    <w:p>
      <w:pPr>
        <w:keepNext w:val="0"/>
        <w:keepLines w:val="0"/>
        <w:pageBreakBefore w:val="0"/>
        <w:widowControl w:val="0"/>
        <w:kinsoku/>
        <w:wordWrap/>
        <w:overflowPunct/>
        <w:topLinePunct w:val="0"/>
        <w:autoSpaceDN/>
        <w:bidi w:val="0"/>
        <w:spacing w:line="594" w:lineRule="exact"/>
        <w:ind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 食品添加剂使用标准》（GB 2760</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2014）中规定，酱油中不得使用糖精钠（以糖精计）。酱油中检出糖精钠（以糖精计）的原因，可能是企业为增加产品甜度而超范围使用甜味剂。</w:t>
      </w:r>
    </w:p>
    <w:p>
      <w:pPr>
        <w:keepNext w:val="0"/>
        <w:keepLines w:val="0"/>
        <w:pageBreakBefore w:val="0"/>
        <w:widowControl w:val="0"/>
        <w:numPr>
          <w:ilvl w:val="0"/>
          <w:numId w:val="2"/>
        </w:numPr>
        <w:kinsoku/>
        <w:wordWrap/>
        <w:overflowPunct/>
        <w:topLinePunct w:val="0"/>
        <w:autoSpaceDN/>
        <w:bidi w:val="0"/>
        <w:spacing w:line="594" w:lineRule="exact"/>
        <w:ind w:leftChars="0"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香兰素</w:t>
      </w:r>
    </w:p>
    <w:p>
      <w:pPr>
        <w:keepNext w:val="0"/>
        <w:keepLines w:val="0"/>
        <w:pageBreakBefore w:val="0"/>
        <w:widowControl w:val="0"/>
        <w:kinsoku/>
        <w:wordWrap/>
        <w:overflowPunct/>
        <w:topLinePunct w:val="0"/>
        <w:autoSpaceDN/>
        <w:bidi w:val="0"/>
        <w:spacing w:line="594" w:lineRule="exact"/>
        <w:ind w:firstLine="640" w:firstLineChars="200"/>
        <w:rPr>
          <w:rFonts w:hint="default"/>
          <w:lang w:val="en-US" w:eastAsia="zh-CN"/>
        </w:rPr>
      </w:pPr>
      <w:r>
        <w:rPr>
          <w:rFonts w:ascii="Times New Roman" w:hAnsi="Times New Roman" w:eastAsia="仿宋_GB2312"/>
          <w:sz w:val="32"/>
        </w:rPr>
        <w:t>香兰素是一种常用食品添加剂，因具有香荚兰豆香气及浓郁的奶香，广泛运用于各种需要增加奶香气的调香食品中，尤其是乳制品、烘焙食品、饮料和食用油中</w:t>
      </w:r>
      <w:r>
        <w:rPr>
          <w:rFonts w:hint="eastAsia" w:ascii="Times New Roman" w:hAnsi="Times New Roman" w:eastAsia="仿宋_GB2312"/>
          <w:sz w:val="32"/>
          <w:lang w:eastAsia="zh-CN"/>
        </w:rPr>
        <w:t>。按照标准要求使用</w:t>
      </w:r>
      <w:r>
        <w:rPr>
          <w:rFonts w:ascii="Times New Roman" w:hAnsi="Times New Roman" w:eastAsia="仿宋_GB2312"/>
          <w:sz w:val="32"/>
        </w:rPr>
        <w:t>香兰素</w:t>
      </w:r>
      <w:r>
        <w:rPr>
          <w:rFonts w:hint="eastAsia" w:ascii="Times New Roman" w:hAnsi="Times New Roman" w:eastAsia="仿宋_GB2312"/>
          <w:sz w:val="32"/>
          <w:lang w:eastAsia="zh-CN"/>
        </w:rPr>
        <w:t>不会对人体造成健康危害，但大量</w:t>
      </w:r>
      <w:r>
        <w:rPr>
          <w:rFonts w:ascii="Times New Roman" w:hAnsi="Times New Roman" w:eastAsia="仿宋_GB2312"/>
          <w:sz w:val="32"/>
        </w:rPr>
        <w:t>摄入香兰素会导致头晕、恶心</w:t>
      </w:r>
      <w:r>
        <w:rPr>
          <w:rFonts w:hint="eastAsia" w:ascii="Times New Roman" w:hAnsi="Times New Roman" w:eastAsia="仿宋_GB2312"/>
          <w:sz w:val="32"/>
          <w:lang w:eastAsia="zh-CN"/>
        </w:rPr>
        <w:t>等症状，</w:t>
      </w:r>
      <w:r>
        <w:rPr>
          <w:rFonts w:ascii="Times New Roman" w:hAnsi="Times New Roman" w:eastAsia="仿宋_GB2312"/>
          <w:sz w:val="32"/>
        </w:rPr>
        <w:t>严重</w:t>
      </w:r>
      <w:r>
        <w:rPr>
          <w:rFonts w:hint="eastAsia" w:ascii="Times New Roman" w:hAnsi="Times New Roman" w:eastAsia="仿宋_GB2312"/>
          <w:sz w:val="32"/>
          <w:lang w:eastAsia="zh-CN"/>
        </w:rPr>
        <w:t>时会</w:t>
      </w:r>
      <w:r>
        <w:rPr>
          <w:rFonts w:ascii="Times New Roman" w:hAnsi="Times New Roman" w:eastAsia="仿宋_GB2312"/>
          <w:sz w:val="32"/>
        </w:rPr>
        <w:t>造成肝、肾损伤。</w:t>
      </w:r>
      <w:r>
        <w:rPr>
          <w:rFonts w:hint="eastAsia" w:ascii="Times New Roman" w:hAnsi="Times New Roman" w:eastAsia="仿宋_GB2312"/>
          <w:sz w:val="32"/>
        </w:rPr>
        <w:t>《食品安全国家标准 食品添加剂使用标准》（GB 2760—2014）中规定，0至6个月婴幼儿配方食品中不得添加任何食用香料，较大婴儿和幼儿配方食品可按照规定限量使用香兰素。1段婴儿配方乳粉检出香兰素的原因，可能是企业在切换不同月龄婴幼儿食品生产线时，清场不彻底导致</w:t>
      </w:r>
      <w:r>
        <w:rPr>
          <w:rFonts w:hint="eastAsia" w:ascii="Times New Roman" w:hAnsi="Times New Roman" w:eastAsia="仿宋_GB2312"/>
          <w:sz w:val="32"/>
          <w:lang w:eastAsia="zh-CN"/>
        </w:rPr>
        <w:t>，</w:t>
      </w:r>
      <w:r>
        <w:rPr>
          <w:rFonts w:hint="eastAsia" w:ascii="Times New Roman" w:hAnsi="Times New Roman" w:eastAsia="仿宋_GB2312"/>
          <w:sz w:val="32"/>
        </w:rPr>
        <w:t>也可能是不法商贩为了达到以次充好、以假乱真等目的，违法添加此类物质。</w:t>
      </w:r>
    </w:p>
    <w:p>
      <w:pPr>
        <w:keepNext w:val="0"/>
        <w:keepLines w:val="0"/>
        <w:pageBreakBefore w:val="0"/>
        <w:widowControl w:val="0"/>
        <w:kinsoku/>
        <w:wordWrap/>
        <w:overflowPunct/>
        <w:topLinePunct w:val="0"/>
        <w:autoSpaceDE/>
        <w:autoSpaceDN/>
        <w:bidi w:val="0"/>
        <w:snapToGrid/>
        <w:spacing w:line="594" w:lineRule="exact"/>
        <w:ind w:leftChars="0"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eastAsia="zh-CN"/>
        </w:rPr>
        <w:t>、苯甲酸及其钠盐（以苯甲酸计）</w:t>
      </w:r>
    </w:p>
    <w:p>
      <w:pPr>
        <w:pStyle w:val="2"/>
        <w:keepNext w:val="0"/>
        <w:keepLines w:val="0"/>
        <w:pageBreakBefore w:val="0"/>
        <w:widowControl w:val="0"/>
        <w:kinsoku/>
        <w:wordWrap/>
        <w:overflowPunct/>
        <w:topLinePunct w:val="0"/>
        <w:autoSpaceDE/>
        <w:autoSpaceDN/>
        <w:bidi w:val="0"/>
        <w:adjustRightInd w:val="0"/>
        <w:spacing w:after="0" w:line="594" w:lineRule="exact"/>
        <w:ind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苯甲酸及其钠盐（以苯甲酸计）是食品工业中常用的一种防腐剂，对霉菌、酵母和细菌有较好的抑制作用。长期食用苯甲酸及其钠盐超标的食品，可能会造成肝脏积累性中毒，危害肝脏健康。《食品安全国家标准 食品添加剂使用标准》（GB 2760</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2014）中规定，苯甲酸及其钠盐（以苯甲酸计）在酱油中最大使用限量为1.0g/kg。酱油</w:t>
      </w:r>
      <w:r>
        <w:rPr>
          <w:rFonts w:hint="eastAsia" w:ascii="Times New Roman" w:hAnsi="Times New Roman" w:eastAsia="仿宋_GB2312" w:cs="Times New Roman"/>
          <w:kern w:val="2"/>
          <w:sz w:val="32"/>
          <w:szCs w:val="32"/>
          <w:highlight w:val="none"/>
          <w:lang w:val="en-US" w:eastAsia="zh-CN" w:bidi="ar-SA"/>
        </w:rPr>
        <w:t>中</w:t>
      </w:r>
      <w:r>
        <w:rPr>
          <w:rFonts w:hint="default" w:ascii="Times New Roman" w:hAnsi="Times New Roman" w:eastAsia="仿宋_GB2312" w:cs="Times New Roman"/>
          <w:kern w:val="2"/>
          <w:sz w:val="32"/>
          <w:szCs w:val="32"/>
          <w:highlight w:val="none"/>
          <w:lang w:val="en-US" w:eastAsia="zh-CN" w:bidi="ar-SA"/>
        </w:rPr>
        <w:t>苯甲酸及其钠盐（以苯甲酸计）检测值超标的原因，可能是生产企业为延长产品保质期，或者弥补产品生产过程卫生条件而超限量使用；也可能是在使用过程中未准确计量。</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val="en-US" w:eastAsia="zh-CN"/>
        </w:rPr>
        <w:t>七</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亮蓝</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亮蓝又名食用蓝色2号，水溶性非偶氮类</w:t>
      </w:r>
      <w:r>
        <w:rPr>
          <w:rFonts w:hint="default" w:ascii="Times New Roman" w:hAnsi="Times New Roman" w:eastAsia="仿宋_GB2312" w:cs="Times New Roman"/>
          <w:color w:val="000000" w:themeColor="text1"/>
          <w:sz w:val="32"/>
          <w:szCs w:val="32"/>
          <w:highlight w:val="none"/>
          <w:lang w:eastAsia="zh-CN"/>
        </w:rPr>
        <w:t>化合物，</w:t>
      </w:r>
      <w:r>
        <w:rPr>
          <w:rFonts w:hint="default" w:ascii="Times New Roman" w:hAnsi="Times New Roman" w:eastAsia="仿宋_GB2312" w:cs="Times New Roman"/>
          <w:color w:val="000000" w:themeColor="text1"/>
          <w:sz w:val="32"/>
          <w:szCs w:val="32"/>
          <w:highlight w:val="none"/>
        </w:rPr>
        <w:t>是常见的人工合成着色剂，在食品</w:t>
      </w:r>
      <w:r>
        <w:rPr>
          <w:rFonts w:hint="default" w:ascii="Times New Roman" w:hAnsi="Times New Roman" w:eastAsia="仿宋_GB2312" w:cs="Times New Roman"/>
          <w:color w:val="000000" w:themeColor="text1"/>
          <w:sz w:val="32"/>
          <w:szCs w:val="32"/>
          <w:highlight w:val="none"/>
          <w:lang w:eastAsia="zh-CN"/>
        </w:rPr>
        <w:t>生产</w:t>
      </w:r>
      <w:r>
        <w:rPr>
          <w:rFonts w:hint="default" w:ascii="Times New Roman" w:hAnsi="Times New Roman" w:eastAsia="仿宋_GB2312" w:cs="Times New Roman"/>
          <w:color w:val="000000" w:themeColor="text1"/>
          <w:sz w:val="32"/>
          <w:szCs w:val="32"/>
          <w:highlight w:val="none"/>
        </w:rPr>
        <w:t>中应用广泛。如果长期摄入</w:t>
      </w:r>
      <w:r>
        <w:rPr>
          <w:rFonts w:hint="default" w:ascii="Times New Roman" w:hAnsi="Times New Roman" w:eastAsia="仿宋_GB2312" w:cs="Times New Roman"/>
          <w:color w:val="000000" w:themeColor="text1"/>
          <w:sz w:val="32"/>
          <w:szCs w:val="32"/>
          <w:highlight w:val="none"/>
          <w:lang w:eastAsia="zh-CN"/>
        </w:rPr>
        <w:t>亮蓝超标的食品</w:t>
      </w:r>
      <w:r>
        <w:rPr>
          <w:rFonts w:hint="default" w:ascii="Times New Roman" w:hAnsi="Times New Roman" w:eastAsia="仿宋_GB2312" w:cs="Times New Roman"/>
          <w:color w:val="000000" w:themeColor="text1"/>
          <w:sz w:val="32"/>
          <w:szCs w:val="32"/>
          <w:highlight w:val="none"/>
        </w:rPr>
        <w:t>，存在致畸、致癌的</w:t>
      </w:r>
      <w:r>
        <w:rPr>
          <w:rFonts w:hint="eastAsia" w:ascii="Times New Roman" w:hAnsi="Times New Roman" w:eastAsia="仿宋_GB2312" w:cs="Times New Roman"/>
          <w:color w:val="000000" w:themeColor="text1"/>
          <w:sz w:val="32"/>
          <w:szCs w:val="32"/>
          <w:highlight w:val="none"/>
          <w:lang w:eastAsia="zh-CN"/>
        </w:rPr>
        <w:t>风险</w:t>
      </w:r>
      <w:r>
        <w:rPr>
          <w:rFonts w:hint="default" w:ascii="Times New Roman" w:hAnsi="Times New Roman" w:eastAsia="仿宋_GB2312" w:cs="Times New Roman"/>
          <w:color w:val="000000" w:themeColor="text1"/>
          <w:sz w:val="32"/>
          <w:szCs w:val="32"/>
          <w:highlight w:val="none"/>
        </w:rPr>
        <w:t>。《食品安全国家标准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2014）中规定，凉果类</w:t>
      </w:r>
      <w:r>
        <w:rPr>
          <w:rFonts w:hint="default" w:ascii="Times New Roman" w:hAnsi="Times New Roman" w:eastAsia="仿宋_GB2312" w:cs="Times New Roman"/>
          <w:color w:val="000000" w:themeColor="text1"/>
          <w:sz w:val="32"/>
          <w:szCs w:val="32"/>
          <w:highlight w:val="none"/>
          <w:lang w:eastAsia="zh-CN"/>
        </w:rPr>
        <w:t>蜜饯</w:t>
      </w:r>
      <w:r>
        <w:rPr>
          <w:rFonts w:hint="default" w:ascii="Times New Roman" w:hAnsi="Times New Roman" w:eastAsia="仿宋_GB2312" w:cs="Times New Roman"/>
          <w:color w:val="000000" w:themeColor="text1"/>
          <w:sz w:val="32"/>
          <w:szCs w:val="32"/>
          <w:highlight w:val="none"/>
        </w:rPr>
        <w:t>中亮蓝的最大使用量为0.025g/kg。</w:t>
      </w:r>
      <w:r>
        <w:rPr>
          <w:rFonts w:hint="eastAsia" w:ascii="Times New Roman" w:hAnsi="Times New Roman" w:eastAsia="仿宋_GB2312" w:cs="Times New Roman"/>
          <w:color w:val="000000" w:themeColor="text1"/>
          <w:sz w:val="32"/>
          <w:szCs w:val="32"/>
          <w:highlight w:val="none"/>
          <w:lang w:eastAsia="zh-CN"/>
        </w:rPr>
        <w:t>凉果类蜜饯</w:t>
      </w:r>
      <w:r>
        <w:rPr>
          <w:rFonts w:hint="default" w:ascii="Times New Roman" w:hAnsi="Times New Roman" w:eastAsia="仿宋_GB2312" w:cs="Times New Roman"/>
          <w:color w:val="000000" w:themeColor="text1"/>
          <w:sz w:val="32"/>
          <w:szCs w:val="32"/>
          <w:highlight w:val="none"/>
        </w:rPr>
        <w:t>中</w:t>
      </w:r>
      <w:r>
        <w:rPr>
          <w:rFonts w:hint="eastAsia" w:ascii="Times New Roman" w:hAnsi="Times New Roman" w:eastAsia="仿宋_GB2312" w:cs="Times New Roman"/>
          <w:color w:val="000000" w:themeColor="text1"/>
          <w:sz w:val="32"/>
          <w:szCs w:val="32"/>
          <w:highlight w:val="none"/>
          <w:lang w:eastAsia="zh-CN"/>
        </w:rPr>
        <w:t>亮蓝</w:t>
      </w:r>
      <w:r>
        <w:rPr>
          <w:rFonts w:hint="default" w:ascii="Times New Roman" w:hAnsi="Times New Roman" w:eastAsia="仿宋_GB2312" w:cs="Times New Roman"/>
          <w:color w:val="000000" w:themeColor="text1"/>
          <w:sz w:val="32"/>
          <w:szCs w:val="32"/>
          <w:highlight w:val="none"/>
        </w:rPr>
        <w:t>检测值</w:t>
      </w:r>
      <w:r>
        <w:rPr>
          <w:rFonts w:hint="eastAsia" w:ascii="Times New Roman" w:hAnsi="Times New Roman" w:eastAsia="仿宋_GB2312" w:cs="Times New Roman"/>
          <w:color w:val="000000" w:themeColor="text1"/>
          <w:sz w:val="32"/>
          <w:szCs w:val="32"/>
          <w:highlight w:val="none"/>
          <w:lang w:val="en-US" w:eastAsia="zh-CN"/>
        </w:rPr>
        <w:t>超标的</w:t>
      </w:r>
      <w:r>
        <w:rPr>
          <w:rFonts w:hint="default"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可能是</w:t>
      </w:r>
      <w:r>
        <w:rPr>
          <w:rFonts w:hint="default" w:ascii="Times New Roman" w:hAnsi="Times New Roman" w:eastAsia="仿宋_GB2312" w:cs="Times New Roman"/>
          <w:color w:val="000000" w:themeColor="text1"/>
          <w:sz w:val="32"/>
          <w:szCs w:val="32"/>
          <w:highlight w:val="none"/>
        </w:rPr>
        <w:t>生产过程中计量不准导致终产品</w:t>
      </w:r>
      <w:r>
        <w:rPr>
          <w:rFonts w:hint="eastAsia" w:ascii="Times New Roman" w:hAnsi="Times New Roman" w:eastAsia="仿宋_GB2312" w:cs="Times New Roman"/>
          <w:color w:val="000000" w:themeColor="text1"/>
          <w:sz w:val="32"/>
          <w:szCs w:val="32"/>
          <w:highlight w:val="none"/>
          <w:lang w:eastAsia="zh-CN"/>
        </w:rPr>
        <w:t>亮蓝</w:t>
      </w:r>
      <w:r>
        <w:rPr>
          <w:rFonts w:hint="default" w:ascii="Times New Roman" w:hAnsi="Times New Roman" w:eastAsia="仿宋_GB2312" w:cs="Times New Roman"/>
          <w:color w:val="000000" w:themeColor="text1"/>
          <w:sz w:val="32"/>
          <w:szCs w:val="32"/>
          <w:highlight w:val="none"/>
        </w:rPr>
        <w:t>超标</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也可能是生产企业为改善产品色泽</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提高市场价值而过量使用</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还可能是企业掺假造假滥用色素。</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val="en-US" w:eastAsia="zh-CN"/>
        </w:rPr>
        <w:t>八</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苋菜红</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苋菜红又名</w:t>
      </w:r>
      <w:r>
        <w:rPr>
          <w:rFonts w:hint="eastAsia" w:ascii="Times New Roman" w:hAnsi="Times New Roman" w:eastAsia="仿宋_GB2312" w:cs="Times New Roman"/>
          <w:color w:val="000000" w:themeColor="text1"/>
          <w:sz w:val="32"/>
          <w:szCs w:val="32"/>
          <w:highlight w:val="none"/>
          <w:lang w:eastAsia="zh-CN"/>
        </w:rPr>
        <w:t>蓝光酸性红</w:t>
      </w:r>
      <w:r>
        <w:rPr>
          <w:rFonts w:hint="default" w:ascii="Times New Roman" w:hAnsi="Times New Roman" w:eastAsia="仿宋_GB2312" w:cs="Times New Roman"/>
          <w:color w:val="000000" w:themeColor="text1"/>
          <w:sz w:val="32"/>
          <w:szCs w:val="32"/>
          <w:highlight w:val="none"/>
        </w:rPr>
        <w:t>，偶氮类</w:t>
      </w:r>
      <w:r>
        <w:rPr>
          <w:rFonts w:hint="default" w:ascii="Times New Roman" w:hAnsi="Times New Roman" w:eastAsia="仿宋_GB2312" w:cs="Times New Roman"/>
          <w:color w:val="000000" w:themeColor="text1"/>
          <w:sz w:val="32"/>
          <w:szCs w:val="32"/>
          <w:highlight w:val="none"/>
          <w:lang w:eastAsia="zh-CN"/>
        </w:rPr>
        <w:t>化合物</w:t>
      </w:r>
      <w:r>
        <w:rPr>
          <w:rFonts w:hint="default" w:ascii="Times New Roman" w:hAnsi="Times New Roman" w:eastAsia="仿宋_GB2312" w:cs="Times New Roman"/>
          <w:color w:val="000000" w:themeColor="text1"/>
          <w:sz w:val="32"/>
          <w:szCs w:val="32"/>
          <w:highlight w:val="none"/>
        </w:rPr>
        <w:t>，是常见的人工合成着色剂，在食品</w:t>
      </w:r>
      <w:r>
        <w:rPr>
          <w:rFonts w:hint="default" w:ascii="Times New Roman" w:hAnsi="Times New Roman" w:eastAsia="仿宋_GB2312" w:cs="Times New Roman"/>
          <w:color w:val="000000" w:themeColor="text1"/>
          <w:sz w:val="32"/>
          <w:szCs w:val="32"/>
          <w:highlight w:val="none"/>
          <w:lang w:eastAsia="zh-CN"/>
        </w:rPr>
        <w:t>生产</w:t>
      </w:r>
      <w:r>
        <w:rPr>
          <w:rFonts w:hint="default" w:ascii="Times New Roman" w:hAnsi="Times New Roman" w:eastAsia="仿宋_GB2312" w:cs="Times New Roman"/>
          <w:color w:val="000000" w:themeColor="text1"/>
          <w:sz w:val="32"/>
          <w:szCs w:val="32"/>
          <w:highlight w:val="none"/>
        </w:rPr>
        <w:t>中应用广泛。如果长期摄入苋菜红</w:t>
      </w:r>
      <w:r>
        <w:rPr>
          <w:rFonts w:hint="default" w:ascii="Times New Roman" w:hAnsi="Times New Roman" w:eastAsia="仿宋_GB2312" w:cs="Times New Roman"/>
          <w:color w:val="000000" w:themeColor="text1"/>
          <w:sz w:val="32"/>
          <w:szCs w:val="32"/>
          <w:highlight w:val="none"/>
          <w:lang w:eastAsia="zh-CN"/>
        </w:rPr>
        <w:t>超标的食品</w:t>
      </w:r>
      <w:r>
        <w:rPr>
          <w:rFonts w:hint="default" w:ascii="Times New Roman" w:hAnsi="Times New Roman" w:eastAsia="仿宋_GB2312" w:cs="Times New Roman"/>
          <w:color w:val="000000" w:themeColor="text1"/>
          <w:sz w:val="32"/>
          <w:szCs w:val="32"/>
          <w:highlight w:val="none"/>
        </w:rPr>
        <w:t>，存在致畸、致癌的可能性。《食品安全国家标准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2014）中规定，蜜饯凉果中苋菜红的最大使用量为0.05g/kg。</w:t>
      </w:r>
      <w:r>
        <w:rPr>
          <w:rFonts w:hint="default" w:ascii="Times New Roman" w:hAnsi="Times New Roman" w:eastAsia="仿宋_GB2312" w:cs="Times New Roman"/>
          <w:color w:val="000000" w:themeColor="text1"/>
          <w:sz w:val="32"/>
          <w:szCs w:val="32"/>
          <w:highlight w:val="none"/>
          <w:lang w:eastAsia="zh-CN"/>
        </w:rPr>
        <w:t>蜜饯凉果</w:t>
      </w:r>
      <w:r>
        <w:rPr>
          <w:rFonts w:hint="default" w:ascii="Times New Roman" w:hAnsi="Times New Roman" w:eastAsia="仿宋_GB2312" w:cs="Times New Roman"/>
          <w:color w:val="000000" w:themeColor="text1"/>
          <w:sz w:val="32"/>
          <w:szCs w:val="32"/>
          <w:highlight w:val="none"/>
        </w:rPr>
        <w:t>中苋菜红</w:t>
      </w:r>
      <w:r>
        <w:rPr>
          <w:rFonts w:hint="default" w:ascii="Times New Roman" w:hAnsi="Times New Roman" w:eastAsia="仿宋_GB2312" w:cs="Times New Roman"/>
          <w:sz w:val="32"/>
          <w:szCs w:val="32"/>
          <w:highlight w:val="none"/>
        </w:rPr>
        <w:t>检测值</w:t>
      </w:r>
      <w:r>
        <w:rPr>
          <w:rFonts w:hint="eastAsia" w:ascii="Times New Roman" w:hAnsi="Times New Roman" w:eastAsia="仿宋_GB2312" w:cs="Times New Roman"/>
          <w:sz w:val="32"/>
          <w:szCs w:val="32"/>
          <w:highlight w:val="none"/>
          <w:lang w:val="en-US" w:eastAsia="zh-CN"/>
        </w:rPr>
        <w:t>超标的</w:t>
      </w:r>
      <w:r>
        <w:rPr>
          <w:rFonts w:hint="default"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可能是</w:t>
      </w:r>
      <w:r>
        <w:rPr>
          <w:rFonts w:hint="default" w:ascii="Times New Roman" w:hAnsi="Times New Roman" w:eastAsia="仿宋_GB2312" w:cs="Times New Roman"/>
          <w:color w:val="000000" w:themeColor="text1"/>
          <w:sz w:val="32"/>
          <w:szCs w:val="32"/>
          <w:highlight w:val="none"/>
        </w:rPr>
        <w:t>生产企业为改善产品色泽</w:t>
      </w:r>
      <w:r>
        <w:rPr>
          <w:rFonts w:hint="default" w:ascii="Times New Roman" w:hAnsi="Times New Roman" w:eastAsia="仿宋_GB2312" w:cs="Times New Roman"/>
          <w:color w:val="000000" w:themeColor="text1"/>
          <w:sz w:val="32"/>
          <w:szCs w:val="32"/>
          <w:highlight w:val="none"/>
          <w:lang w:eastAsia="zh-CN"/>
        </w:rPr>
        <w:t>、提高市场价值而过量使用，也</w:t>
      </w:r>
      <w:r>
        <w:rPr>
          <w:rFonts w:hint="default" w:ascii="Times New Roman" w:hAnsi="Times New Roman" w:eastAsia="仿宋_GB2312" w:cs="Times New Roman"/>
          <w:color w:val="000000" w:themeColor="text1"/>
          <w:sz w:val="32"/>
          <w:szCs w:val="32"/>
          <w:highlight w:val="none"/>
        </w:rPr>
        <w:t>可能是</w:t>
      </w:r>
      <w:r>
        <w:rPr>
          <w:rFonts w:hint="default" w:ascii="Times New Roman" w:hAnsi="Times New Roman" w:eastAsia="仿宋_GB2312" w:cs="Times New Roman"/>
          <w:color w:val="000000" w:themeColor="text1"/>
          <w:sz w:val="32"/>
          <w:szCs w:val="32"/>
          <w:highlight w:val="none"/>
          <w:lang w:eastAsia="zh-CN"/>
        </w:rPr>
        <w:t>企业掺假造假滥用色素</w:t>
      </w:r>
      <w:r>
        <w:rPr>
          <w:rFonts w:hint="default" w:ascii="Times New Roman" w:hAnsi="Times New Roman" w:eastAsia="仿宋_GB2312" w:cs="Times New Roman"/>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val="en-US" w:eastAsia="zh-CN"/>
        </w:rPr>
        <w:t>九</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二氧化硫残留量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黑体" w:cs="Times New Roman"/>
          <w:color w:val="000000" w:themeColor="text1"/>
          <w:sz w:val="32"/>
          <w:szCs w:val="32"/>
          <w:highlight w:val="none"/>
          <w:lang w:val="en-US" w:eastAsia="zh-CN"/>
        </w:rPr>
      </w:pPr>
      <w:r>
        <w:rPr>
          <w:rFonts w:hint="default" w:ascii="Times New Roman" w:hAnsi="Times New Roman" w:eastAsia="仿宋_GB2312" w:cs="Times New Roman"/>
          <w:color w:val="000000" w:themeColor="text1"/>
          <w:sz w:val="32"/>
          <w:szCs w:val="32"/>
          <w:highlight w:val="none"/>
        </w:rPr>
        <w:t>二氧化硫</w:t>
      </w:r>
      <w:r>
        <w:rPr>
          <w:rFonts w:hint="default" w:ascii="Times New Roman" w:hAnsi="Times New Roman" w:eastAsia="仿宋_GB2312" w:cs="Times New Roman"/>
          <w:color w:val="000000" w:themeColor="text1"/>
          <w:sz w:val="32"/>
          <w:szCs w:val="32"/>
          <w:highlight w:val="none"/>
          <w:lang w:eastAsia="zh-CN"/>
        </w:rPr>
        <w:t>是</w:t>
      </w:r>
      <w:r>
        <w:rPr>
          <w:rFonts w:hint="default" w:ascii="Times New Roman" w:hAnsi="Times New Roman" w:eastAsia="仿宋_GB2312" w:cs="Times New Roman"/>
          <w:color w:val="000000" w:themeColor="text1"/>
          <w:sz w:val="32"/>
          <w:szCs w:val="32"/>
          <w:highlight w:val="none"/>
        </w:rPr>
        <w:t>食品加工中常用的漂白剂和防腐剂，具有漂白、防腐和抗氧化作用。少量二氧化硫进入人体不会对身体造成健康危害，但过量食用会引起如恶心、呕吐等胃肠道反应。《食品安全国家标准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2014）中规定，二氧化硫（以二氧化硫残留量计）</w:t>
      </w:r>
      <w:r>
        <w:rPr>
          <w:rFonts w:hint="default" w:ascii="Times New Roman" w:hAnsi="Times New Roman" w:eastAsia="仿宋_GB2312" w:cs="Times New Roman"/>
          <w:color w:val="000000" w:themeColor="text1"/>
          <w:sz w:val="32"/>
          <w:szCs w:val="32"/>
          <w:highlight w:val="none"/>
          <w:lang w:eastAsia="zh-CN"/>
        </w:rPr>
        <w:t>在</w:t>
      </w:r>
      <w:r>
        <w:rPr>
          <w:rFonts w:hint="default" w:ascii="Times New Roman" w:hAnsi="Times New Roman" w:eastAsia="仿宋_GB2312" w:cs="Times New Roman"/>
          <w:color w:val="000000" w:themeColor="text1"/>
          <w:sz w:val="32"/>
          <w:szCs w:val="32"/>
          <w:highlight w:val="none"/>
        </w:rPr>
        <w:t>蜜饯凉果中</w:t>
      </w:r>
      <w:r>
        <w:rPr>
          <w:rFonts w:hint="default" w:ascii="Times New Roman" w:hAnsi="Times New Roman" w:eastAsia="仿宋_GB2312" w:cs="Times New Roman"/>
          <w:color w:val="000000" w:themeColor="text1"/>
          <w:sz w:val="32"/>
          <w:szCs w:val="32"/>
          <w:highlight w:val="none"/>
          <w:lang w:eastAsia="zh-CN"/>
        </w:rPr>
        <w:t>最大使用量为</w:t>
      </w:r>
      <w:r>
        <w:rPr>
          <w:rFonts w:hint="default" w:ascii="Times New Roman" w:hAnsi="Times New Roman" w:eastAsia="仿宋_GB2312" w:cs="Times New Roman"/>
          <w:color w:val="000000" w:themeColor="text1"/>
          <w:sz w:val="32"/>
          <w:szCs w:val="32"/>
          <w:highlight w:val="none"/>
        </w:rPr>
        <w:t>0.35g/kg。</w:t>
      </w:r>
      <w:r>
        <w:rPr>
          <w:rFonts w:hint="eastAsia" w:ascii="Times New Roman" w:hAnsi="Times New Roman" w:eastAsia="仿宋_GB2312" w:cs="Times New Roman"/>
          <w:color w:val="000000" w:themeColor="text1"/>
          <w:sz w:val="32"/>
          <w:szCs w:val="32"/>
          <w:highlight w:val="none"/>
          <w:lang w:eastAsia="zh-CN"/>
        </w:rPr>
        <w:t>蜜饯凉果</w:t>
      </w:r>
      <w:r>
        <w:rPr>
          <w:rFonts w:hint="default" w:ascii="Times New Roman" w:hAnsi="Times New Roman" w:eastAsia="仿宋_GB2312" w:cs="Times New Roman"/>
          <w:color w:val="000000" w:themeColor="text1"/>
          <w:sz w:val="32"/>
          <w:szCs w:val="32"/>
          <w:highlight w:val="none"/>
        </w:rPr>
        <w:t>中二氧化硫残留量</w:t>
      </w:r>
      <w:r>
        <w:rPr>
          <w:rFonts w:hint="eastAsia" w:ascii="Times New Roman" w:hAnsi="Times New Roman" w:eastAsia="仿宋_GB2312" w:cs="Times New Roman"/>
          <w:color w:val="000000" w:themeColor="text1"/>
          <w:sz w:val="32"/>
          <w:szCs w:val="32"/>
          <w:highlight w:val="none"/>
          <w:lang w:val="en-US" w:eastAsia="zh-CN"/>
        </w:rPr>
        <w:t>超标的</w:t>
      </w:r>
      <w:r>
        <w:rPr>
          <w:rFonts w:hint="eastAsia" w:ascii="Times New Roman" w:hAnsi="Times New Roman" w:eastAsia="仿宋_GB2312" w:cs="Times New Roman"/>
          <w:color w:val="000000" w:themeColor="text1"/>
          <w:sz w:val="32"/>
          <w:szCs w:val="32"/>
          <w:highlight w:val="none"/>
          <w:lang w:eastAsia="zh-CN"/>
        </w:rPr>
        <w:t>原因，</w:t>
      </w:r>
      <w:r>
        <w:rPr>
          <w:rFonts w:hint="default" w:ascii="Times New Roman" w:hAnsi="Times New Roman" w:eastAsia="仿宋_GB2312" w:cs="Times New Roman"/>
          <w:color w:val="000000" w:themeColor="text1"/>
          <w:sz w:val="32"/>
          <w:szCs w:val="32"/>
          <w:highlight w:val="none"/>
        </w:rPr>
        <w:t>可能是生产企业为了</w:t>
      </w:r>
      <w:r>
        <w:rPr>
          <w:rFonts w:hint="default" w:ascii="Times New Roman" w:hAnsi="Times New Roman" w:eastAsia="仿宋_GB2312" w:cs="Times New Roman"/>
          <w:color w:val="000000" w:themeColor="text1"/>
          <w:sz w:val="32"/>
          <w:szCs w:val="32"/>
          <w:highlight w:val="none"/>
          <w:lang w:eastAsia="zh-CN"/>
        </w:rPr>
        <w:t>提高产品</w:t>
      </w:r>
      <w:r>
        <w:rPr>
          <w:rFonts w:hint="default" w:ascii="Times New Roman" w:hAnsi="Times New Roman" w:eastAsia="仿宋_GB2312" w:cs="Times New Roman"/>
          <w:color w:val="000000" w:themeColor="text1"/>
          <w:sz w:val="32"/>
          <w:szCs w:val="32"/>
          <w:highlight w:val="none"/>
        </w:rPr>
        <w:t>色泽而超量使用二氧化硫</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也可能是使用时不计量或计量不准确</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还可能是由于使用硫磺熏蒸漂白这种传统工艺或直接使用亚硫酸盐浸泡</w:t>
      </w:r>
      <w:r>
        <w:rPr>
          <w:rFonts w:hint="eastAsia" w:ascii="Times New Roman" w:hAnsi="Times New Roman" w:eastAsia="仿宋_GB2312" w:cs="Times New Roman"/>
          <w:color w:val="000000" w:themeColor="text1"/>
          <w:sz w:val="32"/>
          <w:szCs w:val="32"/>
          <w:highlight w:val="none"/>
          <w:lang w:eastAsia="zh-CN"/>
        </w:rPr>
        <w:t>所</w:t>
      </w:r>
      <w:r>
        <w:rPr>
          <w:rFonts w:hint="default" w:ascii="Times New Roman" w:hAnsi="Times New Roman" w:eastAsia="仿宋_GB2312" w:cs="Times New Roman"/>
          <w:color w:val="000000" w:themeColor="text1"/>
          <w:sz w:val="32"/>
          <w:szCs w:val="32"/>
          <w:highlight w:val="none"/>
        </w:rPr>
        <w:t>造成。</w:t>
      </w:r>
    </w:p>
    <w:p>
      <w:pPr>
        <w:keepNext w:val="0"/>
        <w:keepLines w:val="0"/>
        <w:pageBreakBefore w:val="0"/>
        <w:widowControl w:val="0"/>
        <w:kinsoku/>
        <w:wordWrap/>
        <w:overflowPunct/>
        <w:topLinePunct w:val="0"/>
        <w:autoSpaceDE/>
        <w:autoSpaceDN/>
        <w:bidi w:val="0"/>
        <w:adjustRightInd w:val="0"/>
        <w:snapToGrid w:val="0"/>
        <w:spacing w:line="594" w:lineRule="exact"/>
        <w:ind w:leftChars="0" w:right="0" w:firstLine="640" w:firstLineChars="200"/>
        <w:textAlignment w:val="auto"/>
        <w:rPr>
          <w:rFonts w:hint="eastAsia"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val="en-US" w:eastAsia="zh-CN"/>
        </w:rPr>
        <w:t>十</w:t>
      </w:r>
      <w:r>
        <w:rPr>
          <w:rFonts w:hint="default" w:ascii="Times New Roman" w:hAnsi="Times New Roman" w:eastAsia="黑体" w:cs="Times New Roman"/>
          <w:color w:val="000000" w:themeColor="text1"/>
          <w:sz w:val="32"/>
          <w:szCs w:val="32"/>
          <w:highlight w:val="none"/>
        </w:rPr>
        <w:t>、山梨酸及其钾盐</w:t>
      </w:r>
      <w:r>
        <w:rPr>
          <w:rFonts w:hint="eastAsia" w:ascii="Times New Roman" w:hAnsi="Times New Roman" w:eastAsia="黑体" w:cs="Times New Roman"/>
          <w:color w:val="000000" w:themeColor="text1"/>
          <w:sz w:val="32"/>
          <w:szCs w:val="32"/>
          <w:highlight w:val="none"/>
        </w:rPr>
        <w:t>（以山梨酸计）</w:t>
      </w:r>
    </w:p>
    <w:p>
      <w:pPr>
        <w:pStyle w:val="2"/>
        <w:keepNext w:val="0"/>
        <w:keepLines w:val="0"/>
        <w:pageBreakBefore w:val="0"/>
        <w:widowControl w:val="0"/>
        <w:kinsoku/>
        <w:wordWrap/>
        <w:overflowPunct/>
        <w:topLinePunct w:val="0"/>
        <w:autoSpaceDE/>
        <w:autoSpaceDN/>
        <w:bidi w:val="0"/>
        <w:adjustRightInd w:val="0"/>
        <w:spacing w:after="0" w:line="594" w:lineRule="exact"/>
        <w:ind w:leftChars="0"/>
        <w:textAlignment w:val="auto"/>
        <w:rPr>
          <w:rFonts w:hint="default" w:ascii="Times New Roman" w:hAnsi="Times New Roman" w:eastAsia="仿宋_GB2312" w:cs="Times New Roman"/>
          <w:kern w:val="2"/>
          <w:sz w:val="32"/>
          <w:szCs w:val="32"/>
          <w:highlight w:val="none"/>
          <w:lang w:val="en-US" w:eastAsia="zh-CN" w:bidi="ar-SA"/>
        </w:rPr>
      </w:pPr>
      <w:r>
        <w:rPr>
          <w:rFonts w:ascii="Times New Roman" w:hAnsi="Times New Roman" w:eastAsia="仿宋_GB2312"/>
          <w:sz w:val="32"/>
          <w:szCs w:val="32"/>
        </w:rPr>
        <w:t>山梨酸及其钾盐抗菌性强，防腐效果好，是目前应用非常广泛的食品防腐剂。长期食用山梨酸及其钾盐超标的食品，可能对肝脏、肾脏、骨骼生长造成危害。</w:t>
      </w:r>
      <w:r>
        <w:rPr>
          <w:rFonts w:ascii="Times New Roman" w:hAnsi="Times New Roman" w:eastAsia="仿宋_GB2312"/>
          <w:sz w:val="32"/>
          <w:szCs w:val="32"/>
          <w:highlight w:val="none"/>
        </w:rPr>
        <w:t>《食品安全国家标准</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食品添加剂使用标准》（GB 2760</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2014）中规定，</w:t>
      </w:r>
      <w:r>
        <w:rPr>
          <w:rFonts w:hint="eastAsia" w:ascii="Times New Roman" w:hAnsi="Times New Roman" w:eastAsia="仿宋_GB2312"/>
          <w:sz w:val="32"/>
          <w:szCs w:val="32"/>
          <w:highlight w:val="none"/>
          <w:lang w:eastAsia="zh-CN"/>
        </w:rPr>
        <w:t>蜜饯凉果中</w:t>
      </w:r>
      <w:r>
        <w:rPr>
          <w:rFonts w:hint="eastAsia" w:eastAsia="仿宋_GB2312"/>
          <w:sz w:val="32"/>
          <w:szCs w:val="32"/>
          <w:highlight w:val="none"/>
        </w:rPr>
        <w:t>山梨酸及其钾盐（以山梨酸计）的</w:t>
      </w:r>
      <w:r>
        <w:rPr>
          <w:rFonts w:hint="eastAsia" w:ascii="Times New Roman" w:hAnsi="Times New Roman" w:eastAsia="仿宋_GB2312"/>
          <w:sz w:val="32"/>
          <w:szCs w:val="32"/>
          <w:highlight w:val="none"/>
        </w:rPr>
        <w:t>最大使用量为0.5g/kg</w:t>
      </w:r>
      <w:r>
        <w:rPr>
          <w:rFonts w:ascii="Times New Roman" w:hAnsi="Times New Roman" w:eastAsia="仿宋_GB2312"/>
          <w:sz w:val="32"/>
          <w:szCs w:val="32"/>
          <w:highlight w:val="none"/>
        </w:rPr>
        <w:t>。</w:t>
      </w:r>
      <w:r>
        <w:rPr>
          <w:rFonts w:hint="eastAsia" w:ascii="Times New Roman" w:hAnsi="Times New Roman" w:eastAsia="仿宋_GB2312"/>
          <w:sz w:val="32"/>
          <w:szCs w:val="32"/>
          <w:lang w:eastAsia="zh-CN"/>
        </w:rPr>
        <w:t>蜜饯凉果</w:t>
      </w:r>
      <w:r>
        <w:rPr>
          <w:rFonts w:hint="eastAsia" w:eastAsia="仿宋_GB2312"/>
          <w:sz w:val="32"/>
          <w:szCs w:val="32"/>
        </w:rPr>
        <w:t>中</w:t>
      </w:r>
      <w:r>
        <w:rPr>
          <w:rFonts w:ascii="Times New Roman" w:hAnsi="Times New Roman" w:eastAsia="仿宋_GB2312"/>
          <w:sz w:val="32"/>
          <w:szCs w:val="32"/>
        </w:rPr>
        <w:t>山梨酸及其钾盐</w:t>
      </w:r>
      <w:r>
        <w:rPr>
          <w:rFonts w:hint="eastAsia" w:ascii="Times New Roman" w:hAnsi="Times New Roman" w:eastAsia="仿宋_GB2312"/>
          <w:sz w:val="32"/>
          <w:szCs w:val="32"/>
        </w:rPr>
        <w:t>（以山梨酸计）</w:t>
      </w:r>
      <w:r>
        <w:rPr>
          <w:rFonts w:hint="default" w:ascii="Times New Roman" w:hAnsi="Times New Roman" w:eastAsia="仿宋_GB2312" w:cs="Times New Roman"/>
          <w:color w:val="000000" w:themeColor="text1"/>
          <w:sz w:val="32"/>
          <w:szCs w:val="32"/>
          <w:highlight w:val="none"/>
        </w:rPr>
        <w:t>检测值</w:t>
      </w:r>
      <w:r>
        <w:rPr>
          <w:rFonts w:hint="eastAsia" w:ascii="Times New Roman" w:hAnsi="Times New Roman" w:eastAsia="仿宋_GB2312" w:cs="Times New Roman"/>
          <w:color w:val="000000" w:themeColor="text1"/>
          <w:sz w:val="32"/>
          <w:szCs w:val="32"/>
          <w:highlight w:val="none"/>
          <w:lang w:val="en-US" w:eastAsia="zh-CN"/>
        </w:rPr>
        <w:t>超标的原因</w:t>
      </w:r>
      <w:r>
        <w:rPr>
          <w:rFonts w:ascii="Times New Roman" w:hAnsi="Times New Roman" w:eastAsia="仿宋_GB2312"/>
          <w:sz w:val="32"/>
          <w:szCs w:val="32"/>
        </w:rPr>
        <w:t>，可能是企业为</w:t>
      </w:r>
      <w:r>
        <w:rPr>
          <w:rFonts w:hint="eastAsia" w:ascii="Times New Roman" w:hAnsi="Times New Roman" w:eastAsia="仿宋_GB2312"/>
          <w:sz w:val="32"/>
          <w:szCs w:val="32"/>
        </w:rPr>
        <w:t>延长</w:t>
      </w:r>
      <w:r>
        <w:rPr>
          <w:rFonts w:ascii="Times New Roman" w:hAnsi="Times New Roman" w:eastAsia="仿宋_GB2312"/>
          <w:sz w:val="32"/>
          <w:szCs w:val="32"/>
        </w:rPr>
        <w:t>产品保质期或者弥补产品生产过程</w:t>
      </w:r>
      <w:r>
        <w:rPr>
          <w:rFonts w:hint="eastAsia" w:ascii="Times New Roman" w:hAnsi="Times New Roman" w:eastAsia="仿宋_GB2312"/>
          <w:sz w:val="32"/>
          <w:szCs w:val="32"/>
        </w:rPr>
        <w:t>中</w:t>
      </w:r>
      <w:r>
        <w:rPr>
          <w:rFonts w:ascii="Times New Roman" w:hAnsi="Times New Roman" w:eastAsia="仿宋_GB2312"/>
          <w:sz w:val="32"/>
          <w:szCs w:val="32"/>
        </w:rPr>
        <w:t>卫生条件不佳</w:t>
      </w:r>
      <w:r>
        <w:rPr>
          <w:rFonts w:hint="eastAsia" w:ascii="Times New Roman" w:hAnsi="Times New Roman" w:eastAsia="仿宋_GB2312"/>
          <w:sz w:val="32"/>
          <w:szCs w:val="32"/>
        </w:rPr>
        <w:t>而超限量使用，也可能是在使用过程中未准确计量。</w:t>
      </w:r>
    </w:p>
    <w:p>
      <w:pPr>
        <w:pStyle w:val="2"/>
        <w:keepNext w:val="0"/>
        <w:keepLines w:val="0"/>
        <w:pageBreakBefore w:val="0"/>
        <w:widowControl w:val="0"/>
        <w:numPr>
          <w:ilvl w:val="0"/>
          <w:numId w:val="0"/>
        </w:numPr>
        <w:kinsoku/>
        <w:wordWrap/>
        <w:overflowPunct/>
        <w:topLinePunct w:val="0"/>
        <w:autoSpaceDN/>
        <w:bidi w:val="0"/>
        <w:spacing w:after="0" w:line="594" w:lineRule="exact"/>
        <w:ind w:leftChars="0" w:firstLine="640" w:firstLineChars="200"/>
        <w:textAlignment w:val="auto"/>
        <w:rPr>
          <w:rFonts w:hint="eastAsia" w:ascii="黑体" w:hAnsi="黑体" w:eastAsia="黑体" w:cs="黑体"/>
          <w:szCs w:val="32"/>
          <w:highlight w:val="none"/>
          <w:lang w:eastAsia="zh-CN"/>
        </w:rPr>
      </w:pPr>
      <w:r>
        <w:rPr>
          <w:rFonts w:hint="eastAsia" w:ascii="黑体" w:hAnsi="黑体" w:eastAsia="黑体" w:cs="黑体"/>
          <w:szCs w:val="32"/>
          <w:highlight w:val="none"/>
          <w:lang w:val="en-US" w:eastAsia="zh-CN"/>
        </w:rPr>
        <w:t>十一</w:t>
      </w:r>
      <w:r>
        <w:rPr>
          <w:rFonts w:hint="eastAsia" w:ascii="黑体" w:hAnsi="黑体" w:eastAsia="黑体" w:cs="黑体"/>
          <w:szCs w:val="32"/>
          <w:highlight w:val="none"/>
          <w:lang w:eastAsia="zh-CN"/>
        </w:rPr>
        <w:t>、过氧化值（以脂肪计）</w:t>
      </w:r>
    </w:p>
    <w:p>
      <w:pPr>
        <w:keepNext w:val="0"/>
        <w:keepLines w:val="0"/>
        <w:pageBreakBefore w:val="0"/>
        <w:widowControl w:val="0"/>
        <w:kinsoku/>
        <w:wordWrap/>
        <w:overflowPunct/>
        <w:topLinePunct w:val="0"/>
        <w:autoSpaceDE w:val="0"/>
        <w:autoSpaceDN/>
        <w:bidi w:val="0"/>
        <w:spacing w:line="594" w:lineRule="exact"/>
        <w:ind w:leftChars="0"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highlight w:val="none"/>
        </w:rPr>
        <w:t>过氧化值是油脂酸败的早期指标，主要反映油脂被氧化的程度。食用过氧化值超标的食品一般不会对人体健康造成损害，但长期食用过氧化值严重超标的食品可能导致肠胃不适、腹泻等</w:t>
      </w:r>
      <w:r>
        <w:rPr>
          <w:rFonts w:hint="eastAsia" w:ascii="Times New Roman" w:hAnsi="Times New Roman" w:eastAsia="仿宋_GB2312" w:cs="Times New Roman"/>
          <w:sz w:val="32"/>
          <w:szCs w:val="32"/>
          <w:highlight w:val="none"/>
          <w:lang w:val="en-US" w:eastAsia="zh-CN"/>
        </w:rPr>
        <w:t>症状</w:t>
      </w:r>
      <w:r>
        <w:rPr>
          <w:rFonts w:ascii="Times New Roman" w:hAnsi="Times New Roman" w:eastAsia="仿宋_GB2312" w:cs="Times New Roman"/>
          <w:sz w:val="32"/>
          <w:szCs w:val="32"/>
          <w:highlight w:val="none"/>
        </w:rPr>
        <w:t>。</w:t>
      </w:r>
      <w:r>
        <w:rPr>
          <w:rFonts w:hint="eastAsia" w:ascii="Times New Roman" w:hAnsi="Times New Roman" w:eastAsia="仿宋_GB2312"/>
          <w:spacing w:val="0"/>
          <w:sz w:val="32"/>
          <w:szCs w:val="32"/>
        </w:rPr>
        <w:t>《食品安全国家标准 饼干》（GB 7100—2015）中规定，饼干中过氧化值（以脂肪计）的最大限量值为0.25g/100g。</w:t>
      </w:r>
      <w:r>
        <w:rPr>
          <w:rFonts w:ascii="Times New Roman" w:hAnsi="Times New Roman" w:eastAsia="仿宋_GB2312" w:cs="Times New Roman"/>
          <w:sz w:val="32"/>
          <w:szCs w:val="32"/>
        </w:rPr>
        <w:t>《食品安全国家标准 坚果与籽类食品》（GB 19300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2014）中规定，</w:t>
      </w:r>
      <w:r>
        <w:rPr>
          <w:rFonts w:ascii="Times New Roman" w:hAnsi="Times New Roman" w:eastAsia="仿宋_GB2312" w:cs="Times New Roman"/>
          <w:color w:val="auto"/>
          <w:sz w:val="32"/>
          <w:szCs w:val="32"/>
          <w:highlight w:val="none"/>
        </w:rPr>
        <w:t>熟制</w:t>
      </w:r>
      <w:r>
        <w:rPr>
          <w:rFonts w:hint="eastAsia" w:ascii="Times New Roman" w:hAnsi="Times New Roman" w:eastAsia="仿宋_GB2312" w:cs="Times New Roman"/>
          <w:color w:val="auto"/>
          <w:sz w:val="32"/>
          <w:szCs w:val="32"/>
          <w:highlight w:val="none"/>
          <w:lang w:val="en-US" w:eastAsia="zh-CN"/>
        </w:rPr>
        <w:t>坚果与籽类食品（除熟制</w:t>
      </w:r>
      <w:r>
        <w:rPr>
          <w:rFonts w:ascii="Times New Roman" w:hAnsi="Times New Roman" w:eastAsia="仿宋_GB2312" w:cs="Times New Roman"/>
          <w:color w:val="auto"/>
          <w:sz w:val="32"/>
          <w:szCs w:val="32"/>
          <w:highlight w:val="none"/>
        </w:rPr>
        <w:t>葵花籽</w:t>
      </w:r>
      <w:r>
        <w:rPr>
          <w:rFonts w:hint="eastAsia" w:ascii="Times New Roman" w:hAnsi="Times New Roman" w:eastAsia="仿宋_GB2312" w:cs="Times New Roman"/>
          <w:color w:val="auto"/>
          <w:sz w:val="32"/>
          <w:szCs w:val="32"/>
          <w:highlight w:val="none"/>
          <w:lang w:val="en-US" w:eastAsia="zh-CN"/>
        </w:rPr>
        <w:t>外）</w:t>
      </w:r>
      <w:r>
        <w:rPr>
          <w:rFonts w:ascii="Times New Roman" w:hAnsi="Times New Roman" w:eastAsia="仿宋_GB2312" w:cs="Times New Roman"/>
          <w:sz w:val="32"/>
          <w:szCs w:val="32"/>
        </w:rPr>
        <w:t>过氧化值（以脂肪计）的最大限量值为0.</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0g/100</w:t>
      </w:r>
      <w:r>
        <w:rPr>
          <w:rFonts w:ascii="Times New Roman" w:hAnsi="Times New Roman" w:eastAsia="仿宋_GB2312"/>
          <w:sz w:val="32"/>
          <w:szCs w:val="32"/>
        </w:rPr>
        <w:t>g。</w:t>
      </w:r>
      <w:r>
        <w:rPr>
          <w:rFonts w:hint="eastAsia" w:ascii="Times New Roman" w:hAnsi="Times New Roman" w:eastAsia="仿宋_GB2312"/>
          <w:sz w:val="32"/>
          <w:szCs w:val="32"/>
          <w:lang w:val="en-US" w:eastAsia="zh-CN"/>
        </w:rPr>
        <w:t>饼干、</w:t>
      </w:r>
      <w:r>
        <w:rPr>
          <w:rFonts w:ascii="Times New Roman" w:hAnsi="Times New Roman" w:eastAsia="仿宋_GB2312" w:cs="Times New Roman"/>
          <w:sz w:val="32"/>
          <w:szCs w:val="32"/>
        </w:rPr>
        <w:t>坚果与籽类食品</w:t>
      </w:r>
      <w:r>
        <w:rPr>
          <w:rFonts w:hint="eastAsia" w:ascii="Times New Roman" w:hAnsi="Times New Roman" w:eastAsia="仿宋_GB2312"/>
          <w:sz w:val="32"/>
          <w:szCs w:val="32"/>
        </w:rPr>
        <w:t>中</w:t>
      </w:r>
      <w:r>
        <w:rPr>
          <w:rFonts w:hint="eastAsia" w:eastAsia="仿宋_GB2312"/>
          <w:sz w:val="32"/>
          <w:szCs w:val="32"/>
        </w:rPr>
        <w:t>过氧化值（以脂肪计）检测值超标</w:t>
      </w:r>
      <w:r>
        <w:rPr>
          <w:rFonts w:hint="eastAsia" w:eastAsia="仿宋_GB2312"/>
          <w:sz w:val="32"/>
          <w:szCs w:val="32"/>
          <w:lang w:val="en-US" w:eastAsia="zh-CN"/>
        </w:rPr>
        <w:t>的</w:t>
      </w:r>
      <w:r>
        <w:rPr>
          <w:rFonts w:hint="eastAsia" w:eastAsia="仿宋_GB2312"/>
          <w:sz w:val="32"/>
          <w:szCs w:val="32"/>
        </w:rPr>
        <w:t>原因</w:t>
      </w:r>
      <w:r>
        <w:rPr>
          <w:rFonts w:hint="eastAsia" w:ascii="Times New Roman" w:hAnsi="Times New Roman" w:eastAsia="仿宋_GB2312"/>
          <w:sz w:val="32"/>
          <w:szCs w:val="32"/>
        </w:rPr>
        <w:t>，可能是原料中的脂肪已经被氧化，也可能与产品在储运过程中环境条件控制不当等有关。</w:t>
      </w:r>
    </w:p>
    <w:p>
      <w:pPr>
        <w:keepNext w:val="0"/>
        <w:keepLines w:val="0"/>
        <w:pageBreakBefore w:val="0"/>
        <w:widowControl w:val="0"/>
        <w:kinsoku/>
        <w:wordWrap/>
        <w:overflowPunct/>
        <w:topLinePunct w:val="0"/>
        <w:autoSpaceDN/>
        <w:bidi w:val="0"/>
        <w:spacing w:line="594" w:lineRule="exact"/>
        <w:ind w:firstLine="640" w:firstLineChars="20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十二</w:t>
      </w:r>
      <w:r>
        <w:rPr>
          <w:rFonts w:hint="default" w:ascii="Times New Roman" w:hAnsi="Times New Roman" w:eastAsia="黑体" w:cs="Times New Roman"/>
          <w:sz w:val="32"/>
          <w:szCs w:val="32"/>
          <w:lang w:eastAsia="zh-CN"/>
        </w:rPr>
        <w:t>、全氮（以氮计）</w:t>
      </w:r>
    </w:p>
    <w:p>
      <w:pPr>
        <w:keepNext w:val="0"/>
        <w:keepLines w:val="0"/>
        <w:pageBreakBefore w:val="0"/>
        <w:widowControl w:val="0"/>
        <w:kinsoku/>
        <w:wordWrap/>
        <w:overflowPunct/>
        <w:topLinePunct w:val="0"/>
        <w:autoSpaceDN/>
        <w:bidi w:val="0"/>
        <w:spacing w:line="594"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全</w:t>
      </w:r>
      <w:r>
        <w:rPr>
          <w:rFonts w:hint="default" w:ascii="Times New Roman" w:hAnsi="Times New Roman" w:eastAsia="仿宋_GB2312" w:cs="Times New Roman"/>
          <w:kern w:val="2"/>
          <w:sz w:val="32"/>
          <w:szCs w:val="32"/>
          <w:highlight w:val="none"/>
          <w:lang w:val="en-US" w:eastAsia="zh-CN" w:bidi="ar-SA"/>
        </w:rPr>
        <w:t>氮是酱油的品质指标之一，反映了酱油中蛋白质、氨基酸、肽等含量的高低。全氮不合格主要影响产品的风味。《酿造酱油》（GB/T 18186</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2000）中规定</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高盐稀态发酵酱油（含固稀发酵酱油）（一级）全氮（以氮计）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1.30g/100mL。酱油</w:t>
      </w:r>
      <w:r>
        <w:rPr>
          <w:rFonts w:hint="eastAsia" w:ascii="Times New Roman" w:hAnsi="Times New Roman" w:eastAsia="仿宋_GB2312" w:cs="Times New Roman"/>
          <w:kern w:val="2"/>
          <w:sz w:val="32"/>
          <w:szCs w:val="32"/>
          <w:highlight w:val="none"/>
          <w:lang w:val="en-US" w:eastAsia="zh-CN" w:bidi="ar-SA"/>
        </w:rPr>
        <w:t>中</w:t>
      </w:r>
      <w:r>
        <w:rPr>
          <w:rFonts w:hint="default" w:ascii="Times New Roman" w:hAnsi="Times New Roman" w:eastAsia="仿宋_GB2312" w:cs="Times New Roman"/>
          <w:kern w:val="2"/>
          <w:sz w:val="32"/>
          <w:szCs w:val="32"/>
          <w:highlight w:val="none"/>
          <w:lang w:val="en-US" w:eastAsia="zh-CN" w:bidi="ar-SA"/>
        </w:rPr>
        <w:t>全氮（以氮计）含量不达标的原因，可能是原料采购环节质量把关不严；也可能是企业生产工艺控制不严，如酿造周期未达要求；还可能是企业在生产过程中为降低成本而涉嫌掺假。</w:t>
      </w:r>
    </w:p>
    <w:p>
      <w:pPr>
        <w:keepNext w:val="0"/>
        <w:keepLines w:val="0"/>
        <w:pageBreakBefore w:val="0"/>
        <w:widowControl w:val="0"/>
        <w:kinsoku/>
        <w:wordWrap/>
        <w:overflowPunct/>
        <w:topLinePunct w:val="0"/>
        <w:autoSpaceDN/>
        <w:bidi w:val="0"/>
        <w:spacing w:line="594" w:lineRule="exact"/>
        <w:ind w:firstLine="640" w:firstLineChars="20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十三</w:t>
      </w:r>
      <w:r>
        <w:rPr>
          <w:rFonts w:hint="default" w:ascii="Times New Roman" w:hAnsi="Times New Roman" w:eastAsia="黑体" w:cs="Times New Roman"/>
          <w:sz w:val="32"/>
          <w:szCs w:val="32"/>
          <w:lang w:eastAsia="zh-CN"/>
        </w:rPr>
        <w:t>、氨基酸态氮（以氮计）</w:t>
      </w:r>
    </w:p>
    <w:p>
      <w:pPr>
        <w:pStyle w:val="2"/>
        <w:keepNext w:val="0"/>
        <w:keepLines w:val="0"/>
        <w:pageBreakBefore w:val="0"/>
        <w:widowControl w:val="0"/>
        <w:kinsoku/>
        <w:wordWrap/>
        <w:overflowPunct/>
        <w:topLinePunct w:val="0"/>
        <w:autoSpaceDN/>
        <w:bidi w:val="0"/>
        <w:spacing w:after="0" w:line="594" w:lineRule="exact"/>
      </w:pPr>
      <w:r>
        <w:rPr>
          <w:rFonts w:hint="default" w:ascii="Times New Roman" w:hAnsi="Times New Roman" w:eastAsia="仿宋_GB2312" w:cs="Times New Roman"/>
          <w:sz w:val="32"/>
          <w:szCs w:val="32"/>
          <w:highlight w:val="none"/>
          <w:lang w:val="en-US" w:eastAsia="zh-CN"/>
        </w:rPr>
        <w:t>氨基酸态氮是酱油的特征性品质指标之一，氨基酸态氮含量越高，酱油鲜味越浓，反映酱油的质量越好。氨基酸态氮不合格主要影响产品的品质。《食品安全国家标准 酱油》（GB 2717</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2018）中规定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酱油中氨基酸态氮</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0.4g/100mL，该批次产品中氨基酸态氮的检测值不符合食品安全国家标准规定，也不符合</w:t>
      </w:r>
      <w:r>
        <w:rPr>
          <w:rFonts w:hint="eastAsia" w:ascii="Times New Roman" w:hAnsi="Times New Roman" w:eastAsia="仿宋_GB2312" w:cs="Times New Roman"/>
          <w:sz w:val="32"/>
          <w:szCs w:val="32"/>
          <w:highlight w:val="none"/>
          <w:lang w:val="en-US" w:eastAsia="zh-CN"/>
        </w:rPr>
        <w:t>产品明示标准</w:t>
      </w:r>
      <w:r>
        <w:rPr>
          <w:rFonts w:hint="default" w:ascii="Times New Roman" w:hAnsi="Times New Roman" w:eastAsia="仿宋_GB2312" w:cs="Times New Roman"/>
          <w:sz w:val="32"/>
          <w:szCs w:val="32"/>
          <w:highlight w:val="none"/>
          <w:lang w:val="en-US" w:eastAsia="zh-CN"/>
        </w:rPr>
        <w:t>规定“氨基酸态氮</w:t>
      </w:r>
      <w:r>
        <w:rPr>
          <w:rFonts w:hint="eastAsia" w:ascii="宋体" w:hAnsi="宋体" w:eastAsia="宋体" w:cs="宋体"/>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0.7</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g/100mL”。酱油</w:t>
      </w:r>
      <w:r>
        <w:rPr>
          <w:rFonts w:hint="eastAsia"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lang w:val="en-US" w:eastAsia="zh-CN"/>
        </w:rPr>
        <w:t>氨基酸态氮（以氮计）含量不达标的原因，可能是原料采购环节质量把关不严；也可能是企业生产工艺控制不严，如酿造周期未达要求；还可能是企业在生产过程中为降低成本而涉嫌掺假。</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5"/>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DC580"/>
    <w:multiLevelType w:val="singleLevel"/>
    <w:tmpl w:val="194DC580"/>
    <w:lvl w:ilvl="0" w:tentative="0">
      <w:start w:val="2"/>
      <w:numFmt w:val="chineseCounting"/>
      <w:suff w:val="nothing"/>
      <w:lvlText w:val="%1、"/>
      <w:lvlJc w:val="left"/>
      <w:rPr>
        <w:rFonts w:hint="eastAsia"/>
      </w:rPr>
    </w:lvl>
  </w:abstractNum>
  <w:abstractNum w:abstractNumId="1">
    <w:nsid w:val="7D39F24A"/>
    <w:multiLevelType w:val="singleLevel"/>
    <w:tmpl w:val="7D39F24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2446EE"/>
    <w:rsid w:val="00020497"/>
    <w:rsid w:val="00024C6D"/>
    <w:rsid w:val="00043432"/>
    <w:rsid w:val="00043867"/>
    <w:rsid w:val="00053AE6"/>
    <w:rsid w:val="00083C9A"/>
    <w:rsid w:val="000A1FB4"/>
    <w:rsid w:val="000B21AE"/>
    <w:rsid w:val="000B4026"/>
    <w:rsid w:val="000B4DAD"/>
    <w:rsid w:val="000C502F"/>
    <w:rsid w:val="000C6083"/>
    <w:rsid w:val="000D1C58"/>
    <w:rsid w:val="000D34F7"/>
    <w:rsid w:val="000F7117"/>
    <w:rsid w:val="0010216A"/>
    <w:rsid w:val="00107958"/>
    <w:rsid w:val="00110259"/>
    <w:rsid w:val="001220AD"/>
    <w:rsid w:val="00123FF4"/>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49D1"/>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03C7B"/>
    <w:rsid w:val="00533D1D"/>
    <w:rsid w:val="005557BE"/>
    <w:rsid w:val="00560DD5"/>
    <w:rsid w:val="0056128C"/>
    <w:rsid w:val="005A1446"/>
    <w:rsid w:val="005B036E"/>
    <w:rsid w:val="005C72E8"/>
    <w:rsid w:val="005E1899"/>
    <w:rsid w:val="005E36FE"/>
    <w:rsid w:val="005E5714"/>
    <w:rsid w:val="005F4FE7"/>
    <w:rsid w:val="006000A5"/>
    <w:rsid w:val="00601F5C"/>
    <w:rsid w:val="0062795C"/>
    <w:rsid w:val="006417C9"/>
    <w:rsid w:val="00674436"/>
    <w:rsid w:val="00681D0D"/>
    <w:rsid w:val="00687989"/>
    <w:rsid w:val="006E2F89"/>
    <w:rsid w:val="006E6218"/>
    <w:rsid w:val="006F0D6D"/>
    <w:rsid w:val="006F22C8"/>
    <w:rsid w:val="006F3B40"/>
    <w:rsid w:val="00704F64"/>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2773A"/>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09DA"/>
    <w:rsid w:val="00981C27"/>
    <w:rsid w:val="009941B3"/>
    <w:rsid w:val="009D2294"/>
    <w:rsid w:val="009D56C5"/>
    <w:rsid w:val="009E2E64"/>
    <w:rsid w:val="009F42E5"/>
    <w:rsid w:val="009F75A8"/>
    <w:rsid w:val="00A0189E"/>
    <w:rsid w:val="00A12057"/>
    <w:rsid w:val="00A655ED"/>
    <w:rsid w:val="00A72D59"/>
    <w:rsid w:val="00A819D9"/>
    <w:rsid w:val="00A858FD"/>
    <w:rsid w:val="00A8639F"/>
    <w:rsid w:val="00AE2978"/>
    <w:rsid w:val="00AE3415"/>
    <w:rsid w:val="00AE4163"/>
    <w:rsid w:val="00AE443A"/>
    <w:rsid w:val="00AF3D26"/>
    <w:rsid w:val="00B02836"/>
    <w:rsid w:val="00B17403"/>
    <w:rsid w:val="00B26756"/>
    <w:rsid w:val="00B30079"/>
    <w:rsid w:val="00B342D4"/>
    <w:rsid w:val="00B46A7C"/>
    <w:rsid w:val="00B56A64"/>
    <w:rsid w:val="00B734B6"/>
    <w:rsid w:val="00B82BD1"/>
    <w:rsid w:val="00B83167"/>
    <w:rsid w:val="00BA50EB"/>
    <w:rsid w:val="00BE4729"/>
    <w:rsid w:val="00C05D47"/>
    <w:rsid w:val="00C10FA4"/>
    <w:rsid w:val="00C22080"/>
    <w:rsid w:val="00C277F9"/>
    <w:rsid w:val="00C35F32"/>
    <w:rsid w:val="00C425FB"/>
    <w:rsid w:val="00C47869"/>
    <w:rsid w:val="00C52899"/>
    <w:rsid w:val="00C53768"/>
    <w:rsid w:val="00C71CF8"/>
    <w:rsid w:val="00C82E32"/>
    <w:rsid w:val="00C95DA4"/>
    <w:rsid w:val="00CD2658"/>
    <w:rsid w:val="00CD5EC3"/>
    <w:rsid w:val="00CE26B0"/>
    <w:rsid w:val="00CE296E"/>
    <w:rsid w:val="00D026A1"/>
    <w:rsid w:val="00D0282A"/>
    <w:rsid w:val="00D02ED8"/>
    <w:rsid w:val="00D172AA"/>
    <w:rsid w:val="00D17FA8"/>
    <w:rsid w:val="00D221B8"/>
    <w:rsid w:val="00D25ABD"/>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28D1A14"/>
    <w:rsid w:val="03A414C8"/>
    <w:rsid w:val="04025BED"/>
    <w:rsid w:val="04294F27"/>
    <w:rsid w:val="043132CE"/>
    <w:rsid w:val="04B16515"/>
    <w:rsid w:val="052446EE"/>
    <w:rsid w:val="053242B0"/>
    <w:rsid w:val="05462D97"/>
    <w:rsid w:val="05907CAB"/>
    <w:rsid w:val="06FC4B75"/>
    <w:rsid w:val="0722265B"/>
    <w:rsid w:val="07A30962"/>
    <w:rsid w:val="0AAD48BF"/>
    <w:rsid w:val="0B437A81"/>
    <w:rsid w:val="0BC8771C"/>
    <w:rsid w:val="0C2A1C3C"/>
    <w:rsid w:val="0C2D133B"/>
    <w:rsid w:val="0E092D0B"/>
    <w:rsid w:val="0EC81837"/>
    <w:rsid w:val="0F5238B5"/>
    <w:rsid w:val="0FEB509E"/>
    <w:rsid w:val="103364D3"/>
    <w:rsid w:val="108233AD"/>
    <w:rsid w:val="10A511DC"/>
    <w:rsid w:val="10C75499"/>
    <w:rsid w:val="10F93D79"/>
    <w:rsid w:val="111C434C"/>
    <w:rsid w:val="11A245C9"/>
    <w:rsid w:val="12076629"/>
    <w:rsid w:val="12D22C2E"/>
    <w:rsid w:val="12FD4DF0"/>
    <w:rsid w:val="133001AE"/>
    <w:rsid w:val="134D526F"/>
    <w:rsid w:val="156E0206"/>
    <w:rsid w:val="160A5910"/>
    <w:rsid w:val="1722569F"/>
    <w:rsid w:val="178C1298"/>
    <w:rsid w:val="19977A4A"/>
    <w:rsid w:val="19D6063F"/>
    <w:rsid w:val="1A907481"/>
    <w:rsid w:val="1B03607B"/>
    <w:rsid w:val="1B3D7278"/>
    <w:rsid w:val="1D6C2FCD"/>
    <w:rsid w:val="1DA014D7"/>
    <w:rsid w:val="1E0B5C9C"/>
    <w:rsid w:val="1E9157FB"/>
    <w:rsid w:val="1FA03EF4"/>
    <w:rsid w:val="1FF5604A"/>
    <w:rsid w:val="2059449C"/>
    <w:rsid w:val="20BC665B"/>
    <w:rsid w:val="20C11697"/>
    <w:rsid w:val="21372698"/>
    <w:rsid w:val="22E67475"/>
    <w:rsid w:val="239D06F1"/>
    <w:rsid w:val="247A6FAA"/>
    <w:rsid w:val="249D47DC"/>
    <w:rsid w:val="259E23E3"/>
    <w:rsid w:val="266C5903"/>
    <w:rsid w:val="269D741C"/>
    <w:rsid w:val="27584E00"/>
    <w:rsid w:val="27C43035"/>
    <w:rsid w:val="294A7F7D"/>
    <w:rsid w:val="29F8276D"/>
    <w:rsid w:val="29FB7D70"/>
    <w:rsid w:val="2A53594F"/>
    <w:rsid w:val="2ABF7615"/>
    <w:rsid w:val="2AEB7548"/>
    <w:rsid w:val="2AF42F2E"/>
    <w:rsid w:val="2CD74E22"/>
    <w:rsid w:val="2CE70F66"/>
    <w:rsid w:val="2D7D16EA"/>
    <w:rsid w:val="2E4243E1"/>
    <w:rsid w:val="2F9B35E3"/>
    <w:rsid w:val="2FDD066F"/>
    <w:rsid w:val="30730D18"/>
    <w:rsid w:val="308001C6"/>
    <w:rsid w:val="30AC7B38"/>
    <w:rsid w:val="31252E3F"/>
    <w:rsid w:val="31FD11FC"/>
    <w:rsid w:val="33844E91"/>
    <w:rsid w:val="34516D2E"/>
    <w:rsid w:val="34DB4439"/>
    <w:rsid w:val="34F97B15"/>
    <w:rsid w:val="36256509"/>
    <w:rsid w:val="36AD5E36"/>
    <w:rsid w:val="36BB4D35"/>
    <w:rsid w:val="38933D71"/>
    <w:rsid w:val="39673EBA"/>
    <w:rsid w:val="3A4A0926"/>
    <w:rsid w:val="3A8A5A19"/>
    <w:rsid w:val="3B2D45F6"/>
    <w:rsid w:val="3C2512EE"/>
    <w:rsid w:val="3C4B12A5"/>
    <w:rsid w:val="3C4D2E8B"/>
    <w:rsid w:val="3C81270D"/>
    <w:rsid w:val="3ED05834"/>
    <w:rsid w:val="3EF229BA"/>
    <w:rsid w:val="3FEF0A20"/>
    <w:rsid w:val="408B4949"/>
    <w:rsid w:val="40F962F7"/>
    <w:rsid w:val="41025C20"/>
    <w:rsid w:val="411B6563"/>
    <w:rsid w:val="4236267D"/>
    <w:rsid w:val="42BC2694"/>
    <w:rsid w:val="44921DE2"/>
    <w:rsid w:val="44CE64DA"/>
    <w:rsid w:val="45562D9B"/>
    <w:rsid w:val="463A646A"/>
    <w:rsid w:val="46CC3297"/>
    <w:rsid w:val="471E6356"/>
    <w:rsid w:val="48CD06B6"/>
    <w:rsid w:val="48D63B60"/>
    <w:rsid w:val="494C3F8C"/>
    <w:rsid w:val="495138DA"/>
    <w:rsid w:val="497763FD"/>
    <w:rsid w:val="49B00079"/>
    <w:rsid w:val="49D57EE1"/>
    <w:rsid w:val="4ADC5E51"/>
    <w:rsid w:val="4B5D2CD5"/>
    <w:rsid w:val="4C544655"/>
    <w:rsid w:val="4C95329C"/>
    <w:rsid w:val="4CA036CC"/>
    <w:rsid w:val="4CB7255F"/>
    <w:rsid w:val="4D2968B7"/>
    <w:rsid w:val="4D5B1BD1"/>
    <w:rsid w:val="4D61085B"/>
    <w:rsid w:val="4D96357F"/>
    <w:rsid w:val="4E8159AF"/>
    <w:rsid w:val="4ECB4BA2"/>
    <w:rsid w:val="4ED53EED"/>
    <w:rsid w:val="4EFB0F58"/>
    <w:rsid w:val="4F69410F"/>
    <w:rsid w:val="4FBFB2E4"/>
    <w:rsid w:val="4FDF48D9"/>
    <w:rsid w:val="514C2084"/>
    <w:rsid w:val="51861C65"/>
    <w:rsid w:val="51B43769"/>
    <w:rsid w:val="51BC1E2A"/>
    <w:rsid w:val="52FD335B"/>
    <w:rsid w:val="532062CE"/>
    <w:rsid w:val="533407C0"/>
    <w:rsid w:val="54544D6D"/>
    <w:rsid w:val="56A276D0"/>
    <w:rsid w:val="57B03788"/>
    <w:rsid w:val="58873140"/>
    <w:rsid w:val="588C340E"/>
    <w:rsid w:val="5917309A"/>
    <w:rsid w:val="592526F4"/>
    <w:rsid w:val="59D04F91"/>
    <w:rsid w:val="5AB741B0"/>
    <w:rsid w:val="5B035A3A"/>
    <w:rsid w:val="5B9E651D"/>
    <w:rsid w:val="5BE41C7F"/>
    <w:rsid w:val="5C435B8D"/>
    <w:rsid w:val="5D3C5BA5"/>
    <w:rsid w:val="5DA1645E"/>
    <w:rsid w:val="5E38554B"/>
    <w:rsid w:val="5E5431CD"/>
    <w:rsid w:val="63213BB4"/>
    <w:rsid w:val="63BA5678"/>
    <w:rsid w:val="64165519"/>
    <w:rsid w:val="64CE046B"/>
    <w:rsid w:val="64D82E8B"/>
    <w:rsid w:val="653E7950"/>
    <w:rsid w:val="676770CE"/>
    <w:rsid w:val="679E2A0F"/>
    <w:rsid w:val="69872FA0"/>
    <w:rsid w:val="6BA50B91"/>
    <w:rsid w:val="6BC54056"/>
    <w:rsid w:val="6C8F263F"/>
    <w:rsid w:val="6D3323BC"/>
    <w:rsid w:val="6E0D279D"/>
    <w:rsid w:val="6EFF5CCE"/>
    <w:rsid w:val="707961D1"/>
    <w:rsid w:val="71052DB8"/>
    <w:rsid w:val="71346E5A"/>
    <w:rsid w:val="72404633"/>
    <w:rsid w:val="728D7A35"/>
    <w:rsid w:val="735D6752"/>
    <w:rsid w:val="73712CCC"/>
    <w:rsid w:val="73A155A6"/>
    <w:rsid w:val="743531C2"/>
    <w:rsid w:val="743B3E91"/>
    <w:rsid w:val="74631C62"/>
    <w:rsid w:val="751C7E3C"/>
    <w:rsid w:val="75A22D1B"/>
    <w:rsid w:val="77DD70DB"/>
    <w:rsid w:val="78FB4BB6"/>
    <w:rsid w:val="79043F06"/>
    <w:rsid w:val="7A7226AF"/>
    <w:rsid w:val="7B081C9A"/>
    <w:rsid w:val="7B0C1162"/>
    <w:rsid w:val="7B344CA7"/>
    <w:rsid w:val="7BAF49F6"/>
    <w:rsid w:val="7C3B5127"/>
    <w:rsid w:val="7D9B6771"/>
    <w:rsid w:val="7EEF147B"/>
    <w:rsid w:val="7F056143"/>
    <w:rsid w:val="7F362E0C"/>
    <w:rsid w:val="7F3A6B56"/>
    <w:rsid w:val="7F413799"/>
    <w:rsid w:val="7F7F5721"/>
    <w:rsid w:val="7FBE3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link w:val="14"/>
    <w:qFormat/>
    <w:uiPriority w:val="0"/>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10">
    <w:name w:val="page number"/>
    <w:basedOn w:val="9"/>
    <w:qFormat/>
    <w:uiPriority w:val="0"/>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kern w:val="2"/>
      <w:sz w:val="18"/>
      <w:szCs w:val="18"/>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rFonts w:asciiTheme="minorHAnsi" w:hAnsiTheme="minorHAnsi" w:eastAsiaTheme="minorEastAsia" w:cstheme="minorBidi"/>
      <w:kern w:val="2"/>
      <w:sz w:val="21"/>
      <w:szCs w:val="22"/>
    </w:rPr>
  </w:style>
  <w:style w:type="character" w:customStyle="1" w:styleId="15">
    <w:name w:val="正文首行缩进 2 Char"/>
    <w:basedOn w:val="14"/>
    <w:link w:val="2"/>
    <w:qFormat/>
    <w:uiPriority w:val="0"/>
    <w:rPr>
      <w:rFonts w:ascii="Calibri" w:hAnsi="Calibri" w:eastAsia="仿宋" w:cstheme="minorBidi"/>
      <w:kern w:val="2"/>
      <w:sz w:val="32"/>
      <w:szCs w:val="22"/>
    </w:rPr>
  </w:style>
  <w:style w:type="paragraph" w:customStyle="1" w:styleId="16">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3220</Words>
  <Characters>3474</Characters>
  <Lines>9</Lines>
  <Paragraphs>2</Paragraphs>
  <TotalTime>31</TotalTime>
  <ScaleCrop>false</ScaleCrop>
  <LinksUpToDate>false</LinksUpToDate>
  <CharactersWithSpaces>3509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2021-01-13T01:57:00Z</dcterms:created>
  <dc:creator>ywk-rx</dc:creator>
  <cp:lastModifiedBy>greatwall</cp:lastModifiedBy>
  <cp:lastPrinted>2022-04-02T06:58:00Z</cp:lastPrinted>
  <dcterms:modified xsi:type="dcterms:W3CDTF">2022-04-26T14:22:10Z</dcterms:modified>
  <dc:title>附件1</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D24194D9B8E64A5DBB0672D430152856</vt:lpwstr>
  </property>
</Properties>
</file>