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黑体" w:hAnsi="黑体" w:eastAsia="黑体" w:cs="黑体"/>
          <w:spacing w:val="-12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9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菌落总数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592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食品安全国家标准 食醋》（GB 2719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同一批次产品5个样品的菌落总数检测结果均不得超过10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CFU/mL，且最多允许2个样品的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检测结果超过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CFU/mL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膨化食品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》（GB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17401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）中规定，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膨化食品</w:t>
      </w:r>
      <w:r>
        <w:rPr>
          <w:rFonts w:hint="eastAsia" w:eastAsia="仿宋_GB2312" w:cs="Times New Roman"/>
          <w:sz w:val="32"/>
          <w:szCs w:val="32"/>
        </w:rPr>
        <w:t>同一批次产品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</w:rPr>
        <w:t>个样品的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菌落总数</w:t>
      </w:r>
      <w:r>
        <w:rPr>
          <w:rFonts w:hint="eastAsia" w:eastAsia="仿宋_GB2312" w:cs="Times New Roman"/>
          <w:sz w:val="32"/>
          <w:szCs w:val="32"/>
        </w:rPr>
        <w:t>检测结果均不得超过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且最多允许2个样品的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检测结果超过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；《食品安全国家标准 动物性水产制品》（GB 10136—2015）中规定，即食生制动物性水产制品中菌落总数同一批次产品5个样品的检测结果均不得超过10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CFU/g，且最多允许2个样品的检测结果超过5×10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CFU/g。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食醋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膨化食品、</w:t>
      </w:r>
      <w:r>
        <w:rPr>
          <w:rFonts w:hint="eastAsia" w:eastAsia="仿宋_GB2312"/>
          <w:sz w:val="32"/>
          <w:szCs w:val="32"/>
        </w:rPr>
        <w:t>即食生制动物性水产制品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中菌落总数超标的原因，可能是企业未按要求严格控制生产加工过程的卫生条件，也可能与产品包装密封不严或储运条件不当等有关。</w:t>
      </w:r>
    </w:p>
    <w:p>
      <w:pPr>
        <w:spacing w:line="594" w:lineRule="exact"/>
        <w:ind w:firstLine="640" w:firstLineChars="200"/>
        <w:rPr>
          <w:rFonts w:hint="eastAsia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eastAsia="黑体"/>
          <w:spacing w:val="-12"/>
          <w:sz w:val="32"/>
          <w:szCs w:val="32"/>
        </w:rPr>
        <w:t>香兰素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</w:rPr>
        <w:t>香兰素是一种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常用香精、香料类</w:t>
      </w:r>
      <w:r>
        <w:rPr>
          <w:rFonts w:hint="default" w:ascii="Times New Roman" w:hAnsi="Times New Roman" w:eastAsia="仿宋_GB2312" w:cs="Times New Roman"/>
          <w:sz w:val="32"/>
        </w:rPr>
        <w:t>食品添加剂，因具有香荚兰豆香气及浓郁的奶香，广泛运用于各种需要增加奶香气的调香食品中，尤其是乳制品、烘焙食品、饮料和食用油中。按照标准要求使用香兰素不会对人体造成健康危害，但大量摄入香兰素会导致头晕、恶心等症状，严重时会造成肝、肾损伤。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</w:rPr>
        <w:t>2014）中规定，0至6个月婴儿配方食品中不得添加任何食用香料，较大婴儿和幼儿配方食品可按照规定限量使用香兰素。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从</w:t>
      </w:r>
      <w:r>
        <w:rPr>
          <w:rFonts w:hint="default" w:ascii="Times New Roman" w:hAnsi="Times New Roman" w:eastAsia="仿宋_GB2312" w:cs="Times New Roman"/>
          <w:sz w:val="32"/>
        </w:rPr>
        <w:t>婴儿配方</w:t>
      </w:r>
      <w:r>
        <w:rPr>
          <w:rFonts w:hint="default" w:ascii="Times New Roman" w:hAnsi="Times New Roman" w:eastAsia="仿宋_GB2312" w:cs="Times New Roman"/>
          <w:sz w:val="32"/>
          <w:lang w:val="en-US"/>
        </w:rPr>
        <w:t>食品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</w:rPr>
        <w:t>香兰素检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测值来看</w:t>
      </w:r>
      <w:r>
        <w:rPr>
          <w:rFonts w:hint="default" w:ascii="Times New Roman" w:hAnsi="Times New Roman" w:eastAsia="仿宋_GB2312" w:cs="Times New Roman"/>
          <w:sz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可能是企业在切换不同月龄婴幼儿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配方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食品生产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过程中清洗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不彻底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所致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eastAsia="黑体"/>
          <w:spacing w:val="-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eastAsia="黑体"/>
          <w:spacing w:val="-12"/>
          <w:sz w:val="32"/>
          <w:szCs w:val="32"/>
          <w:highlight w:val="none"/>
          <w:lang w:eastAsia="zh-CN"/>
        </w:rPr>
        <w:t>铝的残留量（干样品，以Al计）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食用铝超标的食品会导致运动和学习记忆能力下降，影响儿童智力发育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2014）中规定，粉丝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粉条中铝的最大残留限量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（干样品，以Al计）为200mg/kg。粉丝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粉条中铝的残留量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（干样品，以</w:t>
      </w:r>
      <w:r>
        <w:rPr>
          <w:rFonts w:ascii="Times New Roman" w:hAnsi="Times New Roman" w:eastAsia="仿宋_GB2312" w:cs="Times New Roman"/>
          <w:sz w:val="32"/>
          <w:szCs w:val="32"/>
        </w:rPr>
        <w:t>Al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超标的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可能是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企业在生产加工过程中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未控制好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含铝食品添加剂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的使用量，也可能是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其使用的复配食品添加剂中铝含量过高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92" w:firstLineChars="200"/>
        <w:textAlignment w:val="auto"/>
        <w:rPr>
          <w:rFonts w:hint="eastAsia" w:ascii="黑体" w:hAnsi="黑体" w:eastAsia="黑体"/>
          <w:spacing w:val="-12"/>
          <w:sz w:val="32"/>
          <w:szCs w:val="32"/>
          <w:lang w:eastAsia="zh-CN"/>
        </w:rPr>
      </w:pPr>
      <w:r>
        <w:rPr>
          <w:rFonts w:hint="eastAsia" w:eastAsia="黑体"/>
          <w:spacing w:val="-12"/>
          <w:sz w:val="32"/>
          <w:szCs w:val="32"/>
          <w:lang w:val="en-US" w:eastAsia="zh-CN"/>
        </w:rPr>
        <w:t>四</w:t>
      </w:r>
      <w:r>
        <w:rPr>
          <w:rFonts w:hint="eastAsia" w:eastAsia="黑体"/>
          <w:spacing w:val="-12"/>
          <w:sz w:val="32"/>
          <w:szCs w:val="32"/>
        </w:rPr>
        <w:t>、</w:t>
      </w:r>
      <w:r>
        <w:rPr>
          <w:rFonts w:hint="eastAsia" w:ascii="黑体" w:hAnsi="黑体" w:eastAsia="黑体"/>
          <w:spacing w:val="-12"/>
          <w:sz w:val="32"/>
          <w:szCs w:val="32"/>
        </w:rPr>
        <w:t>酸价</w:t>
      </w: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KOH</w:t>
      </w: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酸价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又称酸值，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主要反映食品中油脂的酸败程度。酸价超标会导致食品有哈喇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等异味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严重超标时会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产生醛酮类化合物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长期摄入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酸价超标的食品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会对健康有一定影响。《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调味面制品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Q/WZH 0001S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）中规定，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调味面制品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中酸价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的最大限量值为3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mg/g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调味面制品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中酸价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检测值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超标的原因，可能是企业原料采购把关不严，也可能是生产工艺不达标，还可能与产品储藏条件不当有关。</w:t>
      </w:r>
    </w:p>
    <w:p>
      <w:pPr>
        <w:pStyle w:val="8"/>
        <w:numPr>
          <w:ilvl w:val="0"/>
          <w:numId w:val="0"/>
        </w:numPr>
        <w:spacing w:after="0" w:line="594" w:lineRule="exact"/>
        <w:ind w:leftChars="200" w:firstLine="296" w:firstLineChars="100"/>
        <w:rPr>
          <w:rFonts w:hint="eastAsia" w:ascii="黑体" w:hAnsi="黑体" w:eastAsia="黑体" w:cs="黑体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Cs w:val="32"/>
          <w:highlight w:val="none"/>
          <w:lang w:eastAsia="zh-CN"/>
        </w:rPr>
        <w:t>过氧化值（以脂肪计）</w:t>
      </w:r>
    </w:p>
    <w:p>
      <w:pPr>
        <w:autoSpaceDE w:val="0"/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过氧化值是油脂酸败的早期指标，主要反映油脂被氧化的程度。食用过氧化值超标的食品一般不会对人体健康造成损害，但长期食用过氧化值严重超标的食品可能导致肠胃不适、腹泻等。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坚果与籽类食品》（GB 19300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熟制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葵花籽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过氧化值（以脂肪计）的最大限量值为0.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0g/100</w:t>
      </w:r>
      <w:r>
        <w:rPr>
          <w:rFonts w:ascii="Times New Roman" w:hAnsi="Times New Roman" w:eastAsia="仿宋_GB2312"/>
          <w:sz w:val="32"/>
          <w:szCs w:val="32"/>
        </w:rPr>
        <w:t>g。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熟制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葵花籽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hint="eastAsia" w:eastAsia="仿宋_GB2312"/>
          <w:sz w:val="32"/>
          <w:szCs w:val="32"/>
        </w:rPr>
        <w:t>过氧化值（以脂肪计）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检测值超标的原因</w:t>
      </w:r>
      <w:r>
        <w:rPr>
          <w:rFonts w:hint="eastAsia" w:ascii="Times New Roman" w:hAnsi="Times New Roman" w:eastAsia="仿宋_GB2312"/>
          <w:sz w:val="32"/>
          <w:szCs w:val="32"/>
        </w:rPr>
        <w:t>，可能是原料中的脂肪已经被氧化，也可能与产品在储运过程中环境条件控制不当等有关。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六、色值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色值是食糖的品质指标之一，是白砂糖、绵白糖、冰糖等质量等级划分的主要依据之一，主要影响糖品的外观，是杂质多寡的一种反映，也是生产工艺水平的一种体现。《糖霜》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QB/T 4092—2010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中规定，一级糖霜的色值最大值不得超过60IU。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糖霜中色值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检测值超标的原因，可能是生产企业关键工艺控制不当，也可能是运输和储存条件不佳导致色值升高。</w:t>
      </w:r>
    </w:p>
    <w:p>
      <w:pPr>
        <w:spacing w:line="594" w:lineRule="exact"/>
        <w:ind w:firstLine="640" w:firstLineChars="200"/>
        <w:rPr>
          <w:rFonts w:hint="eastAsia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</w:t>
      </w:r>
      <w:r>
        <w:rPr>
          <w:rFonts w:hint="eastAsia" w:eastAsia="黑体"/>
          <w:spacing w:val="-12"/>
          <w:sz w:val="32"/>
          <w:szCs w:val="32"/>
        </w:rPr>
        <w:t>维</w:t>
      </w:r>
      <w:r>
        <w:rPr>
          <w:rFonts w:hint="eastAsia" w:ascii="黑体" w:hAnsi="黑体" w:eastAsia="黑体" w:cs="黑体"/>
          <w:spacing w:val="-12"/>
          <w:sz w:val="32"/>
          <w:szCs w:val="32"/>
        </w:rPr>
        <w:t>生素D</w:t>
      </w:r>
    </w:p>
    <w:p>
      <w:pPr>
        <w:spacing w:line="594" w:lineRule="exact"/>
        <w:ind w:firstLine="627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维生素D是一种脂溶性维生素，是</w:t>
      </w:r>
      <w:r>
        <w:rPr>
          <w:rFonts w:hint="default" w:ascii="Times New Roman" w:hAnsi="Times New Roman" w:eastAsia="仿宋_GB2312" w:cs="Times New Roman"/>
          <w:sz w:val="32"/>
          <w:lang w:val="en-US"/>
        </w:rPr>
        <w:t>婴幼儿以及</w:t>
      </w:r>
      <w:r>
        <w:rPr>
          <w:rFonts w:hint="default" w:ascii="Times New Roman" w:hAnsi="Times New Roman" w:eastAsia="仿宋_GB2312" w:cs="Times New Roman"/>
          <w:sz w:val="32"/>
        </w:rPr>
        <w:t>儿童生长发育不可缺少的微量营养素，除了对骨质的矿化作用外，还参与机体的各种代谢、免疫等反应。维生素D缺乏不仅可导致钙的吸收利用降低，出现佝偻病、骨软化症及骨质疏松等问题，而且可能导致免疫系统功能紊乱。《食品安全国家标准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>婴儿配方食品》（GB 10765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</w:rPr>
        <w:t>2010）中规定，维生素D含量应在0.25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</w:rPr>
        <w:t>0.60μg/100kJ范围内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，根据</w:t>
      </w:r>
      <w:r>
        <w:rPr>
          <w:rFonts w:hint="default" w:ascii="Times New Roman" w:hAnsi="Times New Roman" w:eastAsia="仿宋_GB2312" w:cs="Times New Roman"/>
          <w:sz w:val="32"/>
        </w:rPr>
        <w:t>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</w:rPr>
        <w:t>2013）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</w:rPr>
        <w:t>规定，在产品保质期内，能量和营养成分的实际含量不应低于标示值的80%。婴幼儿配方食品中维生素D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含量</w:t>
      </w:r>
      <w:r>
        <w:rPr>
          <w:rFonts w:hint="default" w:ascii="Times New Roman" w:hAnsi="Times New Roman" w:eastAsia="仿宋_GB2312" w:cs="Times New Roman"/>
          <w:sz w:val="32"/>
        </w:rPr>
        <w:t>不达标的原因，可能是由于复合营养素与婴幼儿配方乳粉生产的配方设计不匹配，也可能是生产工艺安排不合理或者混合工序不到位，还可能与产品储运条件不当有关。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641ED1-F38B-4BD6-A4A4-1BB6A2DF70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CE87D6-D145-43DB-A7DC-9F9C6939A3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1A90132-170E-4784-9136-A72731DB23B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lang w:val="zh-CN"/>
      </w:rPr>
    </w:pPr>
    <w:r>
      <w:rPr>
        <w:lang w:val="zh-CN"/>
      </w:rPr>
      <w:fldChar w:fldCharType="begin"/>
    </w:r>
    <w:r>
      <w:rPr>
        <w:lang w:val="zh-CN"/>
      </w:rPr>
      <w:instrText xml:space="preserve">PAGE   \* MERGEFORMAT</w:instrText>
    </w:r>
    <w:r>
      <w:rPr>
        <w:lang w:val="zh-CN"/>
      </w:rP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1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next w:val="1"/>
    <w:link w:val="16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正文文本缩进 Char"/>
    <w:basedOn w:val="10"/>
    <w:link w:val="3"/>
    <w:qFormat/>
    <w:uiPriority w:val="0"/>
    <w:rPr>
      <w:rFonts w:ascii="Calibri" w:hAnsi="Calibri" w:eastAsia="宋体" w:cs="宋体"/>
      <w:kern w:val="2"/>
      <w:sz w:val="21"/>
      <w:szCs w:val="22"/>
    </w:rPr>
  </w:style>
  <w:style w:type="character" w:customStyle="1" w:styleId="16">
    <w:name w:val="正文首行缩进 2 Char"/>
    <w:basedOn w:val="15"/>
    <w:link w:val="8"/>
    <w:qFormat/>
    <w:uiPriority w:val="0"/>
    <w:rPr>
      <w:rFonts w:ascii="Calibri" w:hAnsi="Calibri" w:eastAsia="仿宋" w:cs="宋体"/>
      <w:kern w:val="2"/>
      <w:sz w:val="32"/>
      <w:szCs w:val="22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1804</Words>
  <Characters>1990</Characters>
  <Paragraphs>20</Paragraphs>
  <TotalTime>11</TotalTime>
  <ScaleCrop>false</ScaleCrop>
  <LinksUpToDate>false</LinksUpToDate>
  <CharactersWithSpaces>2008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2021-01-12T17:57:00Z</dcterms:created>
  <dc:creator>ywk-rx</dc:creator>
  <cp:lastModifiedBy>陈超</cp:lastModifiedBy>
  <cp:lastPrinted>2022-04-01T22:58:00Z</cp:lastPrinted>
  <dcterms:modified xsi:type="dcterms:W3CDTF">2022-12-16T07:08:04Z</dcterms:modified>
  <dc:title>附件1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033F604A98ED452E8AA4EEC2D854D34F</vt:lpwstr>
  </property>
</Properties>
</file>