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napToGrid/>
        <w:spacing w:line="594" w:lineRule="exact"/>
        <w:ind w:leftChars="0"/>
        <w:textAlignment w:val="auto"/>
        <w:rPr>
          <w:rFonts w:ascii="黑体" w:hAnsi="黑体" w:eastAsia="黑体" w:cs="黑体"/>
          <w:spacing w:val="-12"/>
          <w:sz w:val="44"/>
          <w:szCs w:val="44"/>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snapToGrid/>
        <w:spacing w:line="594" w:lineRule="exact"/>
        <w:ind w:leftChars="0"/>
        <w:jc w:val="center"/>
        <w:textAlignment w:val="auto"/>
        <w:rPr>
          <w:rFonts w:ascii="Times New Roman" w:hAnsi="Times New Roman" w:eastAsia="方正小标宋简体" w:cs="Times New Roman"/>
          <w:spacing w:val="-12"/>
          <w:sz w:val="44"/>
          <w:szCs w:val="44"/>
        </w:rPr>
      </w:pPr>
      <w:r>
        <w:rPr>
          <w:rFonts w:ascii="Times New Roman" w:hAnsi="Times New Roman" w:eastAsia="方正小标宋简体" w:cs="Times New Roman"/>
          <w:spacing w:val="-12"/>
          <w:sz w:val="44"/>
          <w:szCs w:val="44"/>
        </w:rPr>
        <w:t>部分不合格检验项目小知识</w:t>
      </w:r>
    </w:p>
    <w:p>
      <w:pPr>
        <w:keepNext w:val="0"/>
        <w:keepLines w:val="0"/>
        <w:pageBreakBefore w:val="0"/>
        <w:widowControl w:val="0"/>
        <w:kinsoku/>
        <w:wordWrap/>
        <w:overflowPunct/>
        <w:topLinePunct w:val="0"/>
        <w:autoSpaceDE/>
        <w:autoSpaceDN/>
        <w:bidi w:val="0"/>
        <w:snapToGrid/>
        <w:spacing w:line="594" w:lineRule="exact"/>
        <w:ind w:leftChars="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napToGrid/>
        <w:spacing w:line="594" w:lineRule="exact"/>
        <w:ind w:firstLine="592" w:firstLineChars="200"/>
        <w:textAlignment w:val="auto"/>
        <w:rPr>
          <w:rFonts w:hint="eastAsia" w:ascii="黑体" w:hAnsi="黑体" w:eastAsia="黑体" w:cs="Times New Roman"/>
          <w:spacing w:val="-12"/>
          <w:sz w:val="32"/>
          <w:szCs w:val="32"/>
          <w:lang w:val="en-US" w:eastAsia="zh-CN"/>
        </w:rPr>
      </w:pPr>
      <w:r>
        <w:rPr>
          <w:rFonts w:hint="eastAsia" w:ascii="黑体" w:hAnsi="黑体" w:eastAsia="黑体" w:cs="Times New Roman"/>
          <w:spacing w:val="-12"/>
          <w:sz w:val="32"/>
          <w:szCs w:val="32"/>
          <w:lang w:val="en-US" w:eastAsia="zh-CN"/>
        </w:rPr>
        <w:t>一、</w:t>
      </w:r>
      <w:r>
        <w:rPr>
          <w:rFonts w:hint="eastAsia" w:ascii="黑体" w:hAnsi="黑体" w:eastAsia="黑体"/>
          <w:spacing w:val="-12"/>
          <w:sz w:val="32"/>
          <w:szCs w:val="32"/>
        </w:rPr>
        <w:t>西地那非</w:t>
      </w:r>
    </w:p>
    <w:p>
      <w:pPr>
        <w:keepNext w:val="0"/>
        <w:keepLines w:val="0"/>
        <w:pageBreakBefore w:val="0"/>
        <w:widowControl w:val="0"/>
        <w:kinsoku/>
        <w:wordWrap/>
        <w:overflowPunct/>
        <w:topLinePunct w:val="0"/>
        <w:autoSpaceDN/>
        <w:bidi w:val="0"/>
        <w:snapToGrid/>
        <w:spacing w:line="594" w:lineRule="exact"/>
        <w:ind w:firstLine="640" w:firstLineChars="200"/>
        <w:textAlignment w:val="auto"/>
        <w:rPr>
          <w:rFonts w:hint="eastAsia" w:eastAsia="宋体"/>
          <w:sz w:val="32"/>
          <w:szCs w:val="32"/>
          <w:lang w:val="en-US" w:eastAsia="zh-CN"/>
        </w:rPr>
      </w:pPr>
      <w:r>
        <w:rPr>
          <w:rFonts w:hint="eastAsia" w:ascii="Times New Roman" w:hAnsi="Times New Roman" w:eastAsia="仿宋_GB2312"/>
          <w:sz w:val="32"/>
          <w:szCs w:val="32"/>
          <w:highlight w:val="none"/>
        </w:rPr>
        <w:t>西地那非是</w:t>
      </w:r>
      <w:bookmarkStart w:id="0" w:name="_GoBack"/>
      <w:bookmarkEnd w:id="0"/>
      <w:r>
        <w:rPr>
          <w:rFonts w:hint="eastAsia" w:ascii="Times New Roman" w:hAnsi="Times New Roman" w:eastAsia="仿宋_GB2312"/>
          <w:sz w:val="32"/>
          <w:szCs w:val="32"/>
          <w:highlight w:val="none"/>
        </w:rPr>
        <w:t>一种处方药，商品名为“万艾可”，用于治疗男性功能障碍。食用含有西地那非的食品，可能存在头痛、潮红、消化不良、鼻塞及视觉异常等不良反应，在</w:t>
      </w:r>
      <w:r>
        <w:rPr>
          <w:rFonts w:hint="eastAsia" w:ascii="Times New Roman" w:hAnsi="Times New Roman" w:eastAsia="仿宋_GB2312"/>
          <w:sz w:val="32"/>
          <w:szCs w:val="32"/>
          <w:highlight w:val="none"/>
          <w:lang w:eastAsia="zh-CN"/>
        </w:rPr>
        <w:t>没有医生</w:t>
      </w:r>
      <w:r>
        <w:rPr>
          <w:rFonts w:hint="eastAsia" w:ascii="Times New Roman" w:hAnsi="Times New Roman" w:eastAsia="仿宋_GB2312"/>
          <w:sz w:val="32"/>
          <w:szCs w:val="32"/>
          <w:highlight w:val="none"/>
        </w:rPr>
        <w:t>指导的情况下食用会对健康和生命安全造成严重威胁。</w:t>
      </w:r>
      <w:r>
        <w:rPr>
          <w:rFonts w:hint="eastAsia" w:ascii="Times New Roman" w:hAnsi="Times New Roman" w:eastAsia="仿宋_GB2312"/>
          <w:sz w:val="32"/>
          <w:szCs w:val="32"/>
          <w:highlight w:val="none"/>
          <w:lang w:eastAsia="zh-CN"/>
        </w:rPr>
        <w:t>《食品安全法</w:t>
      </w:r>
      <w:r>
        <w:rPr>
          <w:rFonts w:hint="eastAsia" w:ascii="Times New Roman" w:hAnsi="Times New Roman" w:eastAsia="仿宋_GB2312"/>
          <w:sz w:val="32"/>
          <w:szCs w:val="32"/>
          <w:highlight w:val="none"/>
        </w:rPr>
        <w:t>》第三十四条、第三十八条中规定，</w:t>
      </w:r>
      <w:r>
        <w:rPr>
          <w:rFonts w:hint="eastAsia" w:eastAsia="仿宋_GB2312"/>
          <w:sz w:val="32"/>
          <w:szCs w:val="32"/>
          <w:highlight w:val="none"/>
        </w:rPr>
        <w:t>禁止生产经营非食品原料生产的食品或者添加食品添加剂以外的化学物质和其他可能危害人体健康物质的食品，生产经营的食品中不得添加药品。</w:t>
      </w:r>
      <w:r>
        <w:rPr>
          <w:rFonts w:hint="eastAsia" w:eastAsia="仿宋_GB2312"/>
          <w:sz w:val="32"/>
          <w:szCs w:val="32"/>
          <w:highlight w:val="none"/>
          <w:lang w:val="en-US" w:eastAsia="zh-Hans"/>
        </w:rPr>
        <w:t>食品</w:t>
      </w:r>
      <w:r>
        <w:rPr>
          <w:rFonts w:hint="eastAsia" w:ascii="Times New Roman" w:hAnsi="Times New Roman" w:eastAsia="仿宋_GB2312"/>
          <w:sz w:val="32"/>
          <w:szCs w:val="32"/>
          <w:highlight w:val="none"/>
        </w:rPr>
        <w:t>中检出西地那非的原因，可能是个别生产经营企业为了谋取经济</w:t>
      </w:r>
      <w:r>
        <w:rPr>
          <w:rFonts w:hint="eastAsia" w:ascii="Times New Roman" w:hAnsi="Times New Roman" w:eastAsia="仿宋_GB2312"/>
          <w:sz w:val="32"/>
          <w:szCs w:val="32"/>
        </w:rPr>
        <w:t>利益，达到产品暗示的效果而违法添加。</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菌落总数</w:t>
      </w:r>
    </w:p>
    <w:p>
      <w:pPr>
        <w:pStyle w:val="16"/>
        <w:keepNext w:val="0"/>
        <w:keepLines w:val="0"/>
        <w:pageBreakBefore w:val="0"/>
        <w:widowControl w:val="0"/>
        <w:kinsoku/>
        <w:wordWrap/>
        <w:overflowPunct/>
        <w:topLinePunct w:val="0"/>
        <w:autoSpaceDE/>
        <w:autoSpaceDN/>
        <w:bidi w:val="0"/>
        <w:snapToGrid/>
        <w:spacing w:line="594" w:lineRule="exact"/>
        <w:ind w:firstLine="592"/>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ascii="Times New Roman" w:hAnsi="Times New Roman" w:eastAsia="仿宋_GB2312" w:cs="Times New Roman"/>
          <w:sz w:val="32"/>
          <w:szCs w:val="32"/>
        </w:rPr>
        <w:t xml:space="preserve">《食品安全国家标准 </w:t>
      </w:r>
      <w:r>
        <w:rPr>
          <w:rFonts w:hint="eastAsia" w:ascii="Times New Roman" w:hAnsi="Times New Roman" w:eastAsia="仿宋_GB2312" w:cs="Times New Roman"/>
          <w:sz w:val="32"/>
          <w:szCs w:val="32"/>
        </w:rPr>
        <w:t>食用</w:t>
      </w:r>
      <w:r>
        <w:rPr>
          <w:rFonts w:ascii="Times New Roman" w:hAnsi="Times New Roman" w:eastAsia="仿宋_GB2312" w:cs="Times New Roman"/>
          <w:sz w:val="32"/>
          <w:szCs w:val="32"/>
        </w:rPr>
        <w:t xml:space="preserve">淀粉》（GB </w:t>
      </w:r>
      <w:r>
        <w:rPr>
          <w:rFonts w:hint="eastAsia" w:ascii="Times New Roman" w:hAnsi="Times New Roman" w:eastAsia="仿宋_GB2312" w:cs="Times New Roman"/>
          <w:sz w:val="32"/>
          <w:szCs w:val="32"/>
        </w:rPr>
        <w:t>31637</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2016）中规定，食用淀粉</w:t>
      </w:r>
      <w:r>
        <w:rPr>
          <w:rFonts w:hint="eastAsia" w:ascii="Times New Roman" w:hAnsi="Times New Roman" w:eastAsia="仿宋_GB2312" w:cs="Times New Roman"/>
          <w:sz w:val="32"/>
          <w:szCs w:val="32"/>
          <w:lang w:val="en-US" w:eastAsia="zh-CN"/>
        </w:rPr>
        <w:t>同一批次产品5个样品的</w:t>
      </w:r>
      <w:r>
        <w:rPr>
          <w:rFonts w:hint="eastAsia" w:ascii="Times New Roman" w:hAnsi="Times New Roman" w:eastAsia="仿宋_GB2312" w:cs="Times New Roman"/>
          <w:sz w:val="32"/>
          <w:szCs w:val="32"/>
          <w:lang w:eastAsia="zh-CN"/>
        </w:rPr>
        <w:t>菌落总数</w:t>
      </w:r>
      <w:r>
        <w:rPr>
          <w:rFonts w:ascii="Times New Roman" w:hAnsi="Times New Roman" w:eastAsia="仿宋_GB2312" w:cs="Times New Roman"/>
          <w:sz w:val="32"/>
          <w:szCs w:val="32"/>
        </w:rPr>
        <w:t>检测结果均不得超过10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CFU/g，且</w:t>
      </w:r>
      <w:r>
        <w:rPr>
          <w:rFonts w:hint="eastAsia" w:ascii="Times New Roman" w:hAnsi="Times New Roman" w:eastAsia="仿宋_GB2312" w:cs="Times New Roman"/>
          <w:sz w:val="32"/>
          <w:szCs w:val="32"/>
          <w:lang w:val="en-US" w:eastAsia="zh-CN"/>
        </w:rPr>
        <w:t>最多允许2个样品的</w:t>
      </w:r>
      <w:r>
        <w:rPr>
          <w:rFonts w:ascii="Times New Roman" w:hAnsi="Times New Roman" w:eastAsia="仿宋_GB2312" w:cs="Times New Roman"/>
          <w:sz w:val="32"/>
          <w:szCs w:val="32"/>
        </w:rPr>
        <w:t>检测结果超过10</w:t>
      </w:r>
      <w:r>
        <w:rPr>
          <w:rFonts w:ascii="Times New Roman" w:hAnsi="Times New Roman" w:eastAsia="仿宋_GB2312" w:cs="Times New Roman"/>
          <w:sz w:val="32"/>
          <w:szCs w:val="32"/>
          <w:vertAlign w:val="superscript"/>
        </w:rPr>
        <w:t>4</w:t>
      </w:r>
      <w:r>
        <w:rPr>
          <w:rFonts w:ascii="Times New Roman" w:hAnsi="Times New Roman" w:eastAsia="仿宋_GB2312" w:cs="Times New Roman"/>
          <w:sz w:val="32"/>
          <w:szCs w:val="32"/>
        </w:rPr>
        <w:t>CFU/g</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rPr>
        <w:t>《食品安全国家标准 动物性水产制品》（GB 10136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2015）中规定，即食生制动物性水产制品</w:t>
      </w:r>
      <w:r>
        <w:rPr>
          <w:rFonts w:hint="eastAsia" w:ascii="Times New Roman" w:hAnsi="Times New Roman" w:eastAsia="仿宋_GB2312" w:cs="Times New Roman"/>
          <w:sz w:val="32"/>
          <w:szCs w:val="32"/>
          <w:lang w:eastAsia="zh-CN"/>
        </w:rPr>
        <w:t>中菌落总数同一批次产品</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个样品的检测</w:t>
      </w:r>
      <w:r>
        <w:rPr>
          <w:rFonts w:hint="eastAsia" w:ascii="Times New Roman" w:hAnsi="Times New Roman" w:eastAsia="仿宋_GB2312" w:cs="Times New Roman"/>
          <w:sz w:val="32"/>
          <w:szCs w:val="32"/>
        </w:rPr>
        <w:t>结果均不得超过10</w:t>
      </w:r>
      <w:r>
        <w:rPr>
          <w:rFonts w:hint="eastAsia" w:ascii="Times New Roman" w:hAnsi="Times New Roman" w:eastAsia="仿宋_GB2312" w:cs="Times New Roman"/>
          <w:sz w:val="32"/>
          <w:szCs w:val="32"/>
          <w:vertAlign w:val="superscript"/>
        </w:rPr>
        <w:t>5</w:t>
      </w:r>
      <w:r>
        <w:rPr>
          <w:rFonts w:hint="eastAsia" w:ascii="Times New Roman" w:hAnsi="Times New Roman" w:eastAsia="仿宋_GB2312" w:cs="Times New Roman"/>
          <w:sz w:val="32"/>
          <w:szCs w:val="32"/>
        </w:rPr>
        <w:t>CFU/g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且最多允许2个样品的检测结果超过超过5×10</w:t>
      </w:r>
      <w:r>
        <w:rPr>
          <w:rFonts w:hint="eastAsia" w:ascii="Times New Roman" w:hAnsi="Times New Roman" w:eastAsia="仿宋_GB2312" w:cs="Times New Roman"/>
          <w:sz w:val="32"/>
          <w:szCs w:val="32"/>
          <w:vertAlign w:val="superscript"/>
        </w:rPr>
        <w:t>4</w:t>
      </w:r>
      <w:r>
        <w:rPr>
          <w:rFonts w:hint="eastAsia" w:ascii="Times New Roman" w:hAnsi="Times New Roman" w:eastAsia="仿宋_GB2312" w:cs="Times New Roman"/>
          <w:sz w:val="32"/>
          <w:szCs w:val="32"/>
        </w:rPr>
        <w:t>CFU/g。</w:t>
      </w:r>
      <w:r>
        <w:rPr>
          <w:rFonts w:hint="eastAsia" w:ascii="Times New Roman" w:hAnsi="Times New Roman" w:eastAsia="仿宋_GB2312" w:cs="Times New Roman"/>
          <w:sz w:val="32"/>
          <w:szCs w:val="32"/>
          <w:highlight w:val="none"/>
          <w:lang w:eastAsia="zh-CN"/>
        </w:rPr>
        <w:t>食用淀粉、</w:t>
      </w:r>
      <w:r>
        <w:rPr>
          <w:rFonts w:hint="eastAsia" w:eastAsia="仿宋_GB2312"/>
          <w:sz w:val="32"/>
          <w:szCs w:val="32"/>
          <w:highlight w:val="none"/>
        </w:rPr>
        <w:t>即食生制动物性水产制品</w:t>
      </w:r>
      <w:r>
        <w:rPr>
          <w:rFonts w:hint="default" w:ascii="Times New Roman" w:hAnsi="Times New Roman" w:eastAsia="仿宋_GB2312" w:cs="Times New Roman"/>
          <w:sz w:val="32"/>
          <w:szCs w:val="32"/>
          <w:highlight w:val="none"/>
        </w:rPr>
        <w:t>中菌落总数超标的原因，可能是企业未按要求严格控制生产加工过程的卫生条件，也可能与产品包装密封不严或储运条件不当等有关。</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ascii="黑体" w:hAnsi="黑体" w:eastAsia="黑体" w:cs="Times New Roman"/>
          <w:color w:val="000000"/>
          <w:spacing w:val="0"/>
          <w:sz w:val="32"/>
          <w:szCs w:val="32"/>
        </w:rPr>
      </w:pPr>
      <w:r>
        <w:rPr>
          <w:rFonts w:hint="eastAsia" w:ascii="黑体" w:hAnsi="黑体" w:eastAsia="黑体"/>
          <w:spacing w:val="0"/>
          <w:sz w:val="32"/>
          <w:szCs w:val="32"/>
          <w:lang w:val="en-US" w:eastAsia="zh-CN"/>
        </w:rPr>
        <w:t>三</w:t>
      </w:r>
      <w:r>
        <w:rPr>
          <w:rFonts w:hint="eastAsia" w:ascii="黑体" w:hAnsi="黑体" w:eastAsia="黑体"/>
          <w:spacing w:val="0"/>
          <w:sz w:val="32"/>
          <w:szCs w:val="32"/>
        </w:rPr>
        <w:t>、</w:t>
      </w:r>
      <w:r>
        <w:rPr>
          <w:rFonts w:hint="eastAsia" w:ascii="黑体" w:hAnsi="黑体" w:eastAsia="黑体" w:cs="黑体"/>
          <w:spacing w:val="0"/>
          <w:sz w:val="32"/>
          <w:szCs w:val="32"/>
        </w:rPr>
        <w:t>呋喃</w:t>
      </w:r>
      <w:r>
        <w:rPr>
          <w:rFonts w:hint="eastAsia" w:ascii="黑体" w:hAnsi="黑体" w:eastAsia="黑体" w:cs="黑体"/>
          <w:spacing w:val="0"/>
          <w:sz w:val="32"/>
          <w:szCs w:val="32"/>
          <w:lang w:val="en-US" w:eastAsia="zh-CN"/>
        </w:rPr>
        <w:t>唑酮</w:t>
      </w:r>
      <w:r>
        <w:rPr>
          <w:rFonts w:hint="eastAsia" w:ascii="黑体" w:hAnsi="黑体" w:eastAsia="黑体" w:cs="黑体"/>
          <w:spacing w:val="0"/>
          <w:sz w:val="32"/>
          <w:szCs w:val="32"/>
        </w:rPr>
        <w:t>代谢物</w:t>
      </w:r>
    </w:p>
    <w:p>
      <w:pPr>
        <w:keepNext w:val="0"/>
        <w:keepLines w:val="0"/>
        <w:pageBreakBefore w:val="0"/>
        <w:widowControl w:val="0"/>
        <w:kinsoku/>
        <w:wordWrap/>
        <w:overflowPunct/>
        <w:topLinePunct w:val="0"/>
        <w:autoSpaceDN/>
        <w:bidi w:val="0"/>
        <w:snapToGrid/>
        <w:spacing w:line="594" w:lineRule="exact"/>
        <w:ind w:firstLine="640" w:firstLineChars="200"/>
        <w:textAlignment w:val="auto"/>
        <w:rPr>
          <w:rFonts w:hint="eastAsia" w:eastAsia="仿宋_GB2312"/>
          <w:sz w:val="32"/>
          <w:szCs w:val="32"/>
        </w:rPr>
      </w:pPr>
      <w:r>
        <w:rPr>
          <w:rFonts w:hint="eastAsia" w:eastAsia="仿宋_GB2312"/>
          <w:sz w:val="32"/>
          <w:szCs w:val="32"/>
        </w:rPr>
        <w:t>呋喃</w:t>
      </w:r>
      <w:r>
        <w:rPr>
          <w:rFonts w:hint="eastAsia" w:eastAsia="仿宋_GB2312"/>
          <w:sz w:val="32"/>
          <w:szCs w:val="32"/>
          <w:lang w:val="en-US" w:eastAsia="zh-CN"/>
        </w:rPr>
        <w:t>唑酮</w:t>
      </w:r>
      <w:r>
        <w:rPr>
          <w:rFonts w:hint="eastAsia" w:eastAsia="仿宋_GB2312"/>
          <w:sz w:val="32"/>
          <w:szCs w:val="32"/>
        </w:rPr>
        <w:t>是硝基呋喃类抗菌药，具有抗菌谱广等特点。硝基呋喃类原型药在生物体内代谢迅速，其代谢物和蛋白质结合后稳定，故检测其代谢物可反映硝基呋喃类药物的残留状况。长期大量摄入含有呋喃</w:t>
      </w:r>
      <w:r>
        <w:rPr>
          <w:rFonts w:hint="eastAsia" w:eastAsia="仿宋_GB2312"/>
          <w:sz w:val="32"/>
          <w:szCs w:val="32"/>
          <w:lang w:val="en-US" w:eastAsia="zh-CN"/>
        </w:rPr>
        <w:t>唑酮</w:t>
      </w:r>
      <w:r>
        <w:rPr>
          <w:rFonts w:hint="eastAsia" w:eastAsia="仿宋_GB2312"/>
          <w:sz w:val="32"/>
          <w:szCs w:val="32"/>
        </w:rPr>
        <w:t>代谢物的食品，</w:t>
      </w:r>
      <w:r>
        <w:rPr>
          <w:rFonts w:hint="eastAsia" w:ascii="Times New Roman" w:hAnsi="Times New Roman" w:eastAsia="仿宋_GB2312"/>
          <w:spacing w:val="0"/>
          <w:sz w:val="32"/>
          <w:szCs w:val="32"/>
        </w:rPr>
        <w:t>可能在人体内蓄积，引起恶心、呕吐、腹泻、头痛、头晕等症状</w:t>
      </w:r>
      <w:r>
        <w:rPr>
          <w:rFonts w:hint="eastAsia" w:eastAsia="仿宋_GB2312"/>
          <w:sz w:val="32"/>
          <w:szCs w:val="32"/>
        </w:rPr>
        <w:t>。《食品动物中禁止使用的药品及其他化合物清单》（农业农村部公告第</w:t>
      </w:r>
      <w:r>
        <w:rPr>
          <w:rFonts w:hint="default" w:ascii="Times New Roman" w:hAnsi="Times New Roman" w:eastAsia="仿宋_GB2312" w:cs="Times New Roman"/>
          <w:sz w:val="32"/>
          <w:szCs w:val="32"/>
        </w:rPr>
        <w:t>250号）</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规</w:t>
      </w:r>
      <w:r>
        <w:rPr>
          <w:rFonts w:hint="eastAsia" w:eastAsia="仿宋_GB2312"/>
          <w:sz w:val="32"/>
          <w:szCs w:val="32"/>
        </w:rPr>
        <w:t>定，呋喃</w:t>
      </w:r>
      <w:r>
        <w:rPr>
          <w:rFonts w:hint="eastAsia" w:eastAsia="仿宋_GB2312"/>
          <w:sz w:val="32"/>
          <w:szCs w:val="32"/>
          <w:lang w:val="en-US" w:eastAsia="zh-CN"/>
        </w:rPr>
        <w:t>唑酮</w:t>
      </w:r>
      <w:r>
        <w:rPr>
          <w:rFonts w:hint="eastAsia" w:eastAsia="仿宋_GB2312"/>
          <w:sz w:val="32"/>
          <w:szCs w:val="32"/>
        </w:rPr>
        <w:t>为食品动物中禁止使用的药品</w:t>
      </w:r>
      <w:r>
        <w:rPr>
          <w:rFonts w:hint="eastAsia" w:eastAsia="仿宋_GB2312"/>
          <w:sz w:val="32"/>
          <w:szCs w:val="32"/>
          <w:lang w:eastAsia="zh-CN"/>
        </w:rPr>
        <w:t>（</w:t>
      </w:r>
      <w:r>
        <w:rPr>
          <w:rFonts w:hint="eastAsia" w:ascii="Times New Roman" w:hAnsi="Times New Roman" w:eastAsia="仿宋_GB2312"/>
          <w:spacing w:val="0"/>
          <w:sz w:val="32"/>
          <w:szCs w:val="32"/>
        </w:rPr>
        <w:t>在动物性食品中不得检出</w:t>
      </w:r>
      <w:r>
        <w:rPr>
          <w:rFonts w:hint="eastAsia" w:eastAsia="仿宋_GB2312"/>
          <w:sz w:val="32"/>
          <w:szCs w:val="32"/>
          <w:lang w:eastAsia="zh-CN"/>
        </w:rPr>
        <w:t>）</w:t>
      </w:r>
      <w:r>
        <w:rPr>
          <w:rFonts w:hint="eastAsia" w:eastAsia="仿宋_GB2312"/>
          <w:sz w:val="32"/>
          <w:szCs w:val="32"/>
        </w:rPr>
        <w:t>。蜂蜜中检出呋喃</w:t>
      </w:r>
      <w:r>
        <w:rPr>
          <w:rFonts w:hint="eastAsia" w:eastAsia="仿宋_GB2312"/>
          <w:sz w:val="32"/>
          <w:szCs w:val="32"/>
          <w:lang w:val="en-US" w:eastAsia="zh-CN"/>
        </w:rPr>
        <w:t>唑酮</w:t>
      </w:r>
      <w:r>
        <w:rPr>
          <w:rFonts w:hint="eastAsia" w:eastAsia="仿宋_GB2312"/>
          <w:sz w:val="32"/>
          <w:szCs w:val="32"/>
        </w:rPr>
        <w:t>代谢物的原因，可能是蜂农在养殖中违规使用抗菌药。</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eastAsia="黑体"/>
          <w:spacing w:val="-12"/>
          <w:sz w:val="32"/>
          <w:szCs w:val="32"/>
          <w:highlight w:val="none"/>
          <w:lang w:eastAsia="zh-CN"/>
        </w:rPr>
      </w:pPr>
      <w:r>
        <w:rPr>
          <w:rFonts w:hint="eastAsia" w:ascii="黑体" w:hAnsi="黑体" w:eastAsia="黑体"/>
          <w:sz w:val="32"/>
          <w:szCs w:val="32"/>
          <w:lang w:val="en-US" w:eastAsia="zh-CN"/>
        </w:rPr>
        <w:t>四、</w:t>
      </w:r>
      <w:r>
        <w:rPr>
          <w:rFonts w:hint="eastAsia" w:eastAsia="黑体"/>
          <w:spacing w:val="-12"/>
          <w:sz w:val="32"/>
          <w:szCs w:val="32"/>
          <w:lang w:val="en-US" w:eastAsia="zh-CN"/>
        </w:rPr>
        <w:t>诱惑红</w:t>
      </w:r>
    </w:p>
    <w:p>
      <w:pPr>
        <w:pStyle w:val="2"/>
        <w:keepNext w:val="0"/>
        <w:keepLines w:val="0"/>
        <w:pageBreakBefore w:val="0"/>
        <w:widowControl w:val="0"/>
        <w:kinsoku/>
        <w:wordWrap/>
        <w:overflowPunct/>
        <w:topLinePunct w:val="0"/>
        <w:autoSpaceDE/>
        <w:autoSpaceDN/>
        <w:bidi w:val="0"/>
        <w:snapToGrid/>
        <w:spacing w:after="0" w:line="594" w:lineRule="exact"/>
        <w:textAlignment w:val="auto"/>
        <w:rPr>
          <w:sz w:val="32"/>
          <w:szCs w:val="32"/>
        </w:rPr>
      </w:pPr>
      <w:r>
        <w:rPr>
          <w:rFonts w:hint="default" w:ascii="Times New Roman" w:hAnsi="Times New Roman" w:eastAsia="仿宋_GB2312" w:cs="Times New Roman"/>
          <w:sz w:val="32"/>
          <w:szCs w:val="32"/>
          <w:lang w:val="en-US" w:eastAsia="zh-CN"/>
        </w:rPr>
        <w:t>诱惑红，别名艳红、阿落拉红，属于合成着色剂，在食品工业中有非常广泛的应用。诱惑红应按照标准使用，长期摄入，存在致畸、致癌的可能性。</w:t>
      </w:r>
      <w:r>
        <w:rPr>
          <w:rFonts w:ascii="Times New Roman" w:hAnsi="Times New Roman" w:eastAsia="仿宋_GB2312" w:cs="Times New Roman"/>
          <w:sz w:val="32"/>
          <w:szCs w:val="32"/>
        </w:rPr>
        <w:t>《食品安全国家标准 食品添加剂使用标准》（GB 2760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highlight w:val="none"/>
          <w:lang w:val="en-US" w:eastAsia="zh-CN"/>
        </w:rPr>
        <w:t>水果罐头中不得使用</w:t>
      </w:r>
      <w:r>
        <w:rPr>
          <w:rFonts w:hint="default" w:ascii="Times New Roman" w:hAnsi="Times New Roman" w:eastAsia="仿宋_GB2312" w:cs="Times New Roman"/>
          <w:sz w:val="32"/>
          <w:szCs w:val="32"/>
          <w:lang w:val="en-US" w:eastAsia="zh-CN"/>
        </w:rPr>
        <w:t>诱惑红</w:t>
      </w:r>
      <w:r>
        <w:rPr>
          <w:rFonts w:hint="default" w:ascii="Times New Roman" w:hAnsi="Times New Roman" w:eastAsia="仿宋_GB2312" w:cs="Times New Roman"/>
          <w:color w:val="000000" w:themeColor="text1"/>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bidi="ar-SA"/>
        </w:rPr>
        <w:t>水果罐头</w:t>
      </w:r>
      <w:r>
        <w:rPr>
          <w:rFonts w:hint="default" w:ascii="Times New Roman" w:hAnsi="Times New Roman" w:eastAsia="仿宋_GB2312" w:cs="Times New Roman"/>
          <w:kern w:val="2"/>
          <w:sz w:val="32"/>
          <w:szCs w:val="32"/>
          <w:highlight w:val="none"/>
          <w:lang w:val="en-US" w:eastAsia="zh-CN" w:bidi="ar-SA"/>
        </w:rPr>
        <w:t>中检出</w:t>
      </w:r>
      <w:r>
        <w:rPr>
          <w:rFonts w:hint="default" w:ascii="Times New Roman" w:hAnsi="Times New Roman" w:eastAsia="仿宋_GB2312" w:cs="Times New Roman"/>
          <w:sz w:val="32"/>
          <w:szCs w:val="32"/>
          <w:lang w:val="en-US" w:eastAsia="zh-CN"/>
        </w:rPr>
        <w:t>诱惑红</w:t>
      </w:r>
      <w:r>
        <w:rPr>
          <w:rFonts w:hint="default" w:ascii="Times New Roman" w:hAnsi="Times New Roman" w:eastAsia="仿宋_GB2312" w:cs="Times New Roman"/>
          <w:kern w:val="2"/>
          <w:sz w:val="32"/>
          <w:szCs w:val="32"/>
          <w:highlight w:val="none"/>
          <w:lang w:val="en-US" w:eastAsia="zh-CN" w:bidi="ar-SA"/>
        </w:rPr>
        <w:t>的原因</w:t>
      </w:r>
      <w:r>
        <w:rPr>
          <w:rFonts w:hint="eastAsia" w:ascii="Times New Roman" w:hAnsi="Times New Roman" w:eastAsia="仿宋_GB2312" w:cs="Times New Roman"/>
          <w:color w:val="000000" w:themeColor="text1"/>
          <w:sz w:val="32"/>
          <w:szCs w:val="32"/>
          <w:highlight w:val="none"/>
          <w:lang w:val="en-US" w:eastAsia="zh-CN"/>
        </w:rPr>
        <w:t>，</w:t>
      </w:r>
      <w:r>
        <w:rPr>
          <w:rFonts w:ascii="Times New Roman" w:hAnsi="Times New Roman" w:eastAsia="仿宋_GB2312"/>
          <w:color w:val="000000" w:themeColor="text1"/>
          <w:spacing w:val="0"/>
          <w:sz w:val="32"/>
          <w:szCs w:val="32"/>
        </w:rPr>
        <w:t>可能是生产企业为改善产品色泽、提高市场价值而</w:t>
      </w:r>
      <w:r>
        <w:rPr>
          <w:rFonts w:hint="eastAsia" w:ascii="Times New Roman" w:hAnsi="Times New Roman" w:eastAsia="仿宋_GB2312"/>
          <w:color w:val="000000" w:themeColor="text1"/>
          <w:spacing w:val="0"/>
          <w:sz w:val="32"/>
          <w:szCs w:val="32"/>
        </w:rPr>
        <w:t>超范围</w:t>
      </w:r>
      <w:r>
        <w:rPr>
          <w:rFonts w:ascii="Times New Roman" w:hAnsi="Times New Roman" w:eastAsia="仿宋_GB2312"/>
          <w:color w:val="000000" w:themeColor="text1"/>
          <w:spacing w:val="0"/>
          <w:sz w:val="32"/>
          <w:szCs w:val="32"/>
        </w:rPr>
        <w:t>使用，</w:t>
      </w:r>
      <w:r>
        <w:rPr>
          <w:rFonts w:hint="eastAsia" w:ascii="Times New Roman" w:hAnsi="Times New Roman" w:eastAsia="仿宋_GB2312"/>
          <w:color w:val="000000" w:themeColor="text1"/>
          <w:spacing w:val="0"/>
          <w:sz w:val="32"/>
          <w:szCs w:val="32"/>
        </w:rPr>
        <w:t>也</w:t>
      </w:r>
      <w:r>
        <w:rPr>
          <w:rFonts w:ascii="Times New Roman" w:hAnsi="Times New Roman" w:eastAsia="仿宋_GB2312"/>
          <w:color w:val="000000" w:themeColor="text1"/>
          <w:spacing w:val="0"/>
          <w:sz w:val="32"/>
          <w:szCs w:val="32"/>
        </w:rPr>
        <w:t>可能是</w:t>
      </w:r>
      <w:r>
        <w:rPr>
          <w:rFonts w:hint="eastAsia" w:ascii="Times New Roman" w:hAnsi="Times New Roman" w:eastAsia="仿宋_GB2312" w:cs="Times New Roman"/>
          <w:spacing w:val="0"/>
          <w:sz w:val="32"/>
          <w:szCs w:val="32"/>
        </w:rPr>
        <w:t>生产企业未按规定使用食品添加剂</w:t>
      </w:r>
      <w:r>
        <w:rPr>
          <w:rFonts w:ascii="Times New Roman" w:hAnsi="Times New Roman" w:eastAsia="仿宋_GB2312"/>
          <w:color w:val="000000" w:themeColor="text1"/>
          <w:spacing w:val="0"/>
          <w:sz w:val="32"/>
          <w:szCs w:val="32"/>
        </w:rPr>
        <w:t>。</w:t>
      </w:r>
    </w:p>
    <w:p>
      <w:pPr>
        <w:keepNext w:val="0"/>
        <w:keepLines w:val="0"/>
        <w:pageBreakBefore w:val="0"/>
        <w:widowControl w:val="0"/>
        <w:kinsoku/>
        <w:wordWrap/>
        <w:overflowPunct/>
        <w:topLinePunct w:val="0"/>
        <w:autoSpaceDE/>
        <w:autoSpaceDN/>
        <w:bidi w:val="0"/>
        <w:snapToGrid/>
        <w:spacing w:line="594" w:lineRule="exact"/>
        <w:ind w:firstLine="592" w:firstLineChars="200"/>
        <w:textAlignment w:val="auto"/>
        <w:rPr>
          <w:rFonts w:hint="eastAsia" w:eastAsia="黑体"/>
          <w:spacing w:val="-12"/>
          <w:sz w:val="32"/>
          <w:szCs w:val="32"/>
          <w:lang w:val="en-US" w:eastAsia="zh-CN"/>
        </w:rPr>
      </w:pPr>
      <w:r>
        <w:rPr>
          <w:rFonts w:hint="eastAsia" w:eastAsia="黑体"/>
          <w:spacing w:val="-12"/>
          <w:sz w:val="32"/>
          <w:szCs w:val="32"/>
          <w:lang w:val="en-US" w:eastAsia="zh-CN"/>
        </w:rPr>
        <w:t>五</w:t>
      </w:r>
      <w:r>
        <w:rPr>
          <w:rFonts w:hint="eastAsia" w:eastAsia="黑体"/>
          <w:spacing w:val="-12"/>
          <w:sz w:val="32"/>
          <w:szCs w:val="32"/>
        </w:rPr>
        <w:t>、</w:t>
      </w:r>
      <w:r>
        <w:rPr>
          <w:rFonts w:hint="eastAsia" w:ascii="Times New Roman" w:hAnsi="Times New Roman" w:eastAsia="黑体" w:cs="Times New Roman"/>
          <w:color w:val="000000" w:themeColor="text1"/>
          <w:sz w:val="32"/>
          <w:szCs w:val="32"/>
          <w:highlight w:val="none"/>
          <w:lang w:val="en-US" w:eastAsia="zh-CN"/>
        </w:rPr>
        <w:t>酸价（以脂肪计）</w:t>
      </w:r>
    </w:p>
    <w:p>
      <w:pPr>
        <w:keepNext w:val="0"/>
        <w:keepLines w:val="0"/>
        <w:pageBreakBefore w:val="0"/>
        <w:widowControl w:val="0"/>
        <w:kinsoku/>
        <w:wordWrap/>
        <w:overflowPunct/>
        <w:topLinePunct w:val="0"/>
        <w:autoSpaceDE w:val="0"/>
        <w:autoSpaceDN/>
        <w:bidi w:val="0"/>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酸价，又称酸值，主要反映食品中油脂的酸败程度。酸价超标会导致食品有哈喇等异味，严重超标时会产生醛酮类化合物，长期摄入酸价超标的食品会对健康有一定影响。</w:t>
      </w:r>
      <w:r>
        <w:rPr>
          <w:rFonts w:ascii="Times New Roman" w:hAnsi="Times New Roman" w:eastAsia="仿宋_GB2312" w:cs="Times New Roman"/>
          <w:sz w:val="32"/>
          <w:szCs w:val="32"/>
        </w:rPr>
        <w:t>《食品安全国家标准 坚果与籽类食品》（GB 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w:t>
      </w:r>
      <w:r>
        <w:rPr>
          <w:rFonts w:hint="default" w:ascii="Times New Roman" w:hAnsi="Times New Roman" w:eastAsia="仿宋_GB2312" w:cs="Times New Roman"/>
          <w:sz w:val="32"/>
          <w:szCs w:val="32"/>
        </w:rPr>
        <w:t>中规定，</w:t>
      </w:r>
      <w:r>
        <w:rPr>
          <w:rFonts w:hint="eastAsia" w:ascii="Times New Roman" w:hAnsi="Times New Roman" w:eastAsia="仿宋_GB2312" w:cs="Times New Roman"/>
          <w:sz w:val="32"/>
          <w:szCs w:val="32"/>
          <w:highlight w:val="none"/>
          <w:lang w:val="en-US" w:eastAsia="zh-CN"/>
        </w:rPr>
        <w:t>熟制坚果与籽类食品</w:t>
      </w:r>
      <w:r>
        <w:rPr>
          <w:rFonts w:hint="default" w:ascii="Times New Roman" w:hAnsi="Times New Roman" w:eastAsia="仿宋_GB2312" w:cs="Times New Roman"/>
          <w:sz w:val="32"/>
          <w:szCs w:val="32"/>
        </w:rPr>
        <w:t>中酸价</w:t>
      </w:r>
      <w:r>
        <w:rPr>
          <w:rFonts w:ascii="Times New Roman" w:hAnsi="Times New Roman" w:eastAsia="仿宋_GB2312" w:cs="Times New Roman"/>
          <w:sz w:val="32"/>
          <w:szCs w:val="32"/>
        </w:rPr>
        <w:t>（以脂肪计）</w:t>
      </w:r>
      <w:r>
        <w:rPr>
          <w:rFonts w:hint="default" w:ascii="Times New Roman" w:hAnsi="Times New Roman" w:eastAsia="仿宋_GB2312" w:cs="Times New Roman"/>
          <w:sz w:val="32"/>
          <w:szCs w:val="32"/>
        </w:rPr>
        <w:t>的最大限量值为3mg/g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rPr>
        <w:t xml:space="preserve">《食品安全国家标准 </w:t>
      </w:r>
      <w:r>
        <w:rPr>
          <w:rFonts w:hint="eastAsia" w:ascii="Times New Roman" w:hAnsi="Times New Roman" w:eastAsia="仿宋_GB2312" w:cs="Times New Roman"/>
          <w:color w:val="000000" w:themeColor="text1"/>
          <w:sz w:val="32"/>
          <w:szCs w:val="32"/>
          <w:highlight w:val="none"/>
          <w:lang w:val="en-US" w:eastAsia="zh-CN"/>
        </w:rPr>
        <w:t>膨化食品</w:t>
      </w:r>
      <w:r>
        <w:rPr>
          <w:rFonts w:hint="eastAsia" w:ascii="Times New Roman" w:hAnsi="Times New Roman" w:eastAsia="仿宋_GB2312" w:cs="Times New Roman"/>
          <w:color w:val="000000" w:themeColor="text1"/>
          <w:sz w:val="32"/>
          <w:szCs w:val="32"/>
          <w:highlight w:val="none"/>
        </w:rPr>
        <w:t xml:space="preserve">》（GB </w:t>
      </w:r>
      <w:r>
        <w:rPr>
          <w:rFonts w:hint="eastAsia" w:ascii="Times New Roman" w:hAnsi="Times New Roman" w:eastAsia="仿宋_GB2312" w:cs="Times New Roman"/>
          <w:color w:val="000000" w:themeColor="text1"/>
          <w:sz w:val="32"/>
          <w:szCs w:val="32"/>
          <w:highlight w:val="none"/>
          <w:lang w:val="en-US" w:eastAsia="zh-CN"/>
        </w:rPr>
        <w:t>17401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rPr>
        <w:t>201</w:t>
      </w:r>
      <w:r>
        <w:rPr>
          <w:rFonts w:hint="eastAsia" w:ascii="Times New Roman" w:hAnsi="Times New Roman" w:eastAsia="仿宋_GB2312" w:cs="Times New Roman"/>
          <w:color w:val="000000" w:themeColor="text1"/>
          <w:sz w:val="32"/>
          <w:szCs w:val="32"/>
          <w:highlight w:val="none"/>
          <w:lang w:val="en-US" w:eastAsia="zh-CN"/>
        </w:rPr>
        <w:t>4</w:t>
      </w:r>
      <w:r>
        <w:rPr>
          <w:rFonts w:hint="eastAsia" w:ascii="Times New Roman" w:hAnsi="Times New Roman" w:eastAsia="仿宋_GB2312" w:cs="Times New Roman"/>
          <w:color w:val="000000" w:themeColor="text1"/>
          <w:sz w:val="32"/>
          <w:szCs w:val="32"/>
          <w:highlight w:val="none"/>
        </w:rPr>
        <w:t>）</w:t>
      </w:r>
      <w:r>
        <w:rPr>
          <w:rFonts w:hint="eastAsia" w:eastAsia="仿宋_GB2312" w:cs="Times New Roman"/>
          <w:sz w:val="32"/>
          <w:szCs w:val="32"/>
        </w:rPr>
        <w:t>中规定</w:t>
      </w:r>
      <w:r>
        <w:rPr>
          <w:rFonts w:hint="eastAsia" w:ascii="Times New Roman" w:hAnsi="Times New Roman" w:eastAsia="仿宋_GB2312" w:cs="Times New Roman"/>
          <w:kern w:val="2"/>
          <w:sz w:val="32"/>
          <w:szCs w:val="32"/>
          <w:lang w:val="en-US" w:eastAsia="zh-CN" w:bidi="ar-SA"/>
        </w:rPr>
        <w:t>，膨化食品中酸价（以脂肪计）的最大限量值为5mg/g。</w:t>
      </w:r>
      <w:r>
        <w:rPr>
          <w:rFonts w:hint="eastAsia" w:ascii="Times New Roman" w:hAnsi="Times New Roman" w:eastAsia="仿宋_GB2312" w:cs="Times New Roman"/>
          <w:sz w:val="32"/>
          <w:szCs w:val="32"/>
          <w:highlight w:val="none"/>
          <w:lang w:val="en-US" w:eastAsia="zh-CN"/>
        </w:rPr>
        <w:t>熟制坚果与籽类食品、</w:t>
      </w:r>
      <w:r>
        <w:rPr>
          <w:rFonts w:hint="eastAsia" w:ascii="Times New Roman" w:hAnsi="Times New Roman" w:eastAsia="仿宋_GB2312" w:cs="Times New Roman"/>
          <w:kern w:val="2"/>
          <w:sz w:val="32"/>
          <w:szCs w:val="32"/>
          <w:lang w:val="en-US" w:eastAsia="zh-CN" w:bidi="ar-SA"/>
        </w:rPr>
        <w:t>膨化食品</w:t>
      </w:r>
      <w:r>
        <w:rPr>
          <w:rFonts w:hint="eastAsia" w:eastAsia="仿宋_GB2312"/>
          <w:sz w:val="32"/>
          <w:szCs w:val="32"/>
        </w:rPr>
        <w:t>中酸价</w:t>
      </w:r>
      <w:r>
        <w:rPr>
          <w:rFonts w:ascii="Times New Roman" w:hAnsi="Times New Roman" w:eastAsia="仿宋_GB2312" w:cs="Times New Roman"/>
          <w:sz w:val="32"/>
          <w:szCs w:val="32"/>
        </w:rPr>
        <w:t>（以脂肪计）</w:t>
      </w:r>
      <w:r>
        <w:rPr>
          <w:rFonts w:hint="eastAsia" w:eastAsia="仿宋_GB2312"/>
          <w:sz w:val="32"/>
          <w:szCs w:val="32"/>
          <w:lang w:val="en-US" w:eastAsia="zh-CN"/>
        </w:rPr>
        <w:t>检测值</w:t>
      </w:r>
      <w:r>
        <w:rPr>
          <w:rFonts w:hint="eastAsia" w:eastAsia="仿宋_GB2312"/>
          <w:sz w:val="32"/>
          <w:szCs w:val="32"/>
        </w:rPr>
        <w:t>超标的原因，</w:t>
      </w:r>
      <w:r>
        <w:rPr>
          <w:rFonts w:hint="eastAsia" w:ascii="Times New Roman" w:hAnsi="Times New Roman" w:eastAsia="仿宋_GB2312" w:cs="Times New Roman"/>
          <w:kern w:val="2"/>
          <w:sz w:val="32"/>
          <w:szCs w:val="32"/>
          <w:lang w:val="en-US" w:eastAsia="zh-CN" w:bidi="ar-SA"/>
        </w:rPr>
        <w:t>可能是企业原料采购把关不严，也可能是生产工艺不达标，还可能与产品储藏条件不当有关。</w:t>
      </w:r>
    </w:p>
    <w:p>
      <w:pPr>
        <w:keepNext w:val="0"/>
        <w:keepLines w:val="0"/>
        <w:pageBreakBefore w:val="0"/>
        <w:widowControl w:val="0"/>
        <w:kinsoku/>
        <w:wordWrap/>
        <w:overflowPunct/>
        <w:topLinePunct w:val="0"/>
        <w:autoSpaceDE/>
        <w:autoSpaceDN/>
        <w:bidi w:val="0"/>
        <w:snapToGrid/>
        <w:spacing w:line="594" w:lineRule="exact"/>
        <w:ind w:firstLine="592" w:firstLineChars="200"/>
        <w:textAlignment w:val="auto"/>
        <w:rPr>
          <w:rFonts w:hint="eastAsia" w:ascii="黑体" w:hAnsi="黑体" w:eastAsia="黑体"/>
          <w:spacing w:val="-12"/>
          <w:sz w:val="32"/>
          <w:szCs w:val="32"/>
        </w:rPr>
      </w:pPr>
      <w:r>
        <w:rPr>
          <w:rFonts w:hint="eastAsia" w:ascii="黑体" w:hAnsi="黑体" w:eastAsia="黑体"/>
          <w:spacing w:val="-12"/>
          <w:sz w:val="32"/>
          <w:szCs w:val="32"/>
          <w:lang w:val="en-US" w:eastAsia="zh-CN"/>
        </w:rPr>
        <w:t>六、过氧化值（以脂肪计）</w:t>
      </w:r>
    </w:p>
    <w:p>
      <w:pPr>
        <w:keepNext w:val="0"/>
        <w:keepLines w:val="0"/>
        <w:pageBreakBefore w:val="0"/>
        <w:widowControl w:val="0"/>
        <w:kinsoku/>
        <w:wordWrap/>
        <w:overflowPunct/>
        <w:topLinePunct w:val="0"/>
        <w:autoSpaceDE w:val="0"/>
        <w:autoSpaceDN/>
        <w:bidi w:val="0"/>
        <w:snapToGrid/>
        <w:spacing w:line="594" w:lineRule="exact"/>
        <w:ind w:firstLine="640" w:firstLineChars="200"/>
        <w:textAlignment w:val="auto"/>
        <w:rPr>
          <w:rFonts w:hint="eastAsia" w:ascii="黑体" w:hAnsi="黑体" w:eastAsia="黑体" w:cs="黑体"/>
          <w:szCs w:val="32"/>
          <w:highlight w:val="none"/>
          <w:lang w:eastAsia="zh-CN"/>
        </w:rPr>
      </w:pPr>
      <w:r>
        <w:rPr>
          <w:rFonts w:ascii="Times New Roman" w:hAnsi="Times New Roman" w:eastAsia="仿宋_GB2312" w:cs="Times New Roman"/>
          <w:sz w:val="32"/>
          <w:szCs w:val="32"/>
          <w:highlight w:val="none"/>
        </w:rPr>
        <w:t>过氧化值是油脂酸败的早期指标，主要反映油脂被氧化的程度。食用过氧化值超标的食品一般不会对人体健康造成损害，但长期食用过氧化值严重超标的食品可能导致肠胃不适、腹泻等。</w:t>
      </w:r>
      <w:r>
        <w:rPr>
          <w:rFonts w:ascii="Times New Roman" w:hAnsi="Times New Roman" w:eastAsia="仿宋_GB2312" w:cs="Times New Roman"/>
          <w:sz w:val="32"/>
          <w:szCs w:val="32"/>
        </w:rPr>
        <w:t>《食品安全国家标准 坚果与籽类食品》（GB</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19300</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2014）中规定，</w:t>
      </w:r>
      <w:r>
        <w:rPr>
          <w:rFonts w:hint="eastAsia" w:ascii="Times New Roman" w:hAnsi="Times New Roman" w:eastAsia="仿宋_GB2312" w:cs="Times New Roman"/>
          <w:sz w:val="32"/>
          <w:szCs w:val="32"/>
          <w:highlight w:val="none"/>
          <w:lang w:val="en-US" w:eastAsia="zh-CN"/>
        </w:rPr>
        <w:t>熟制坚果与籽类食品（除熟制葵花籽外）中</w:t>
      </w:r>
      <w:r>
        <w:rPr>
          <w:rFonts w:ascii="Times New Roman" w:hAnsi="Times New Roman" w:eastAsia="仿宋_GB2312" w:cs="Times New Roman"/>
          <w:sz w:val="32"/>
          <w:szCs w:val="32"/>
        </w:rPr>
        <w:t>过氧化值（以脂肪计）的最大限量值为0.</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0g/100</w:t>
      </w:r>
      <w:r>
        <w:rPr>
          <w:rFonts w:ascii="Times New Roman" w:hAnsi="Times New Roman" w:eastAsia="仿宋_GB2312"/>
          <w:sz w:val="32"/>
          <w:szCs w:val="32"/>
        </w:rPr>
        <w:t>g。</w:t>
      </w:r>
      <w:r>
        <w:rPr>
          <w:rFonts w:hint="eastAsia" w:ascii="Times New Roman" w:hAnsi="Times New Roman" w:eastAsia="仿宋_GB2312" w:cs="Times New Roman"/>
          <w:sz w:val="32"/>
          <w:szCs w:val="32"/>
          <w:highlight w:val="none"/>
          <w:lang w:val="en-US" w:eastAsia="zh-CN"/>
        </w:rPr>
        <w:t>熟制坚果与籽类食品（除熟制葵花籽外）中</w:t>
      </w:r>
      <w:r>
        <w:rPr>
          <w:rFonts w:hint="eastAsia" w:eastAsia="仿宋_GB2312"/>
          <w:sz w:val="32"/>
          <w:szCs w:val="32"/>
        </w:rPr>
        <w:t>过氧化值（以脂肪计）</w:t>
      </w:r>
      <w:r>
        <w:rPr>
          <w:rFonts w:hint="eastAsia" w:ascii="Times New Roman" w:hAnsi="Times New Roman" w:eastAsia="仿宋_GB2312" w:cs="Times New Roman"/>
          <w:sz w:val="32"/>
          <w:szCs w:val="32"/>
          <w:lang w:val="en-US" w:eastAsia="zh-CN"/>
        </w:rPr>
        <w:t>检测值超标的原因</w:t>
      </w:r>
      <w:r>
        <w:rPr>
          <w:rFonts w:hint="eastAsia" w:ascii="Times New Roman" w:hAnsi="Times New Roman" w:eastAsia="仿宋_GB2312"/>
          <w:sz w:val="32"/>
          <w:szCs w:val="32"/>
        </w:rPr>
        <w:t>，可能是原料中的脂肪已经被氧化，也可能与产品在储运过程中环境条件控制不当等有关。</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不挥发酸（以乳酸计）</w:t>
      </w:r>
    </w:p>
    <w:p>
      <w:pPr>
        <w:pStyle w:val="2"/>
        <w:keepNext w:val="0"/>
        <w:keepLines w:val="0"/>
        <w:pageBreakBefore w:val="0"/>
        <w:widowControl w:val="0"/>
        <w:kinsoku/>
        <w:wordWrap/>
        <w:overflowPunct/>
        <w:topLinePunct w:val="0"/>
        <w:autoSpaceDN/>
        <w:bidi w:val="0"/>
        <w:snapToGrid/>
        <w:spacing w:after="0" w:line="594"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不挥发酸（以乳酸计）是食醋中总酸的一种，以乳酸为主。不挥发酸（以乳酸计）不合格主要影响产品的品质。该批次样品明示执行标准为GB/T 18187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2000，明示生产工艺为固态发酵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《酿造食醋》（GB/T 18187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2000）中规定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固态发酵食醋中不挥发酸（以乳酸计）</w:t>
      </w:r>
      <w:r>
        <w:rPr>
          <w:rFonts w:hint="eastAsia" w:ascii="宋体" w:hAnsi="宋体" w:eastAsia="宋体" w:cs="宋体"/>
          <w:sz w:val="32"/>
          <w:szCs w:val="32"/>
        </w:rPr>
        <w:t>≥</w:t>
      </w:r>
      <w:r>
        <w:rPr>
          <w:rFonts w:hint="default" w:ascii="Times New Roman" w:hAnsi="Times New Roman" w:eastAsia="仿宋_GB2312" w:cs="Times New Roman"/>
          <w:sz w:val="32"/>
          <w:szCs w:val="32"/>
        </w:rPr>
        <w:t>0.50g/100mL。固态发酵食醋中不挥发酸（以乳酸计）</w:t>
      </w:r>
      <w:r>
        <w:rPr>
          <w:rFonts w:hint="eastAsia" w:ascii="Times New Roman" w:hAnsi="Times New Roman" w:eastAsia="仿宋_GB2312" w:cs="Times New Roman"/>
          <w:sz w:val="32"/>
          <w:szCs w:val="32"/>
          <w:lang w:val="en-US" w:eastAsia="zh-CN"/>
        </w:rPr>
        <w:t>含量</w:t>
      </w:r>
      <w:r>
        <w:rPr>
          <w:rFonts w:hint="default" w:ascii="Times New Roman" w:hAnsi="Times New Roman" w:eastAsia="仿宋_GB2312" w:cs="Times New Roman"/>
          <w:sz w:val="32"/>
          <w:szCs w:val="32"/>
        </w:rPr>
        <w:t>不达标的原因，可能是生产加工过程中发酵工艺控制不当。</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eastAsia="zh-CN"/>
        </w:rPr>
        <w:t>、还原糖分</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还原糖分是指具有还原性的糖类，包括葡萄糖、果糖、半乳糖、乳糖和麦芽糖等。还原糖分是食糖的品质指标之一，还原糖分不达标会影响产品质量，缩短其货架期。《绵白糖》</w:t>
      </w:r>
      <w:r>
        <w:rPr>
          <w:rFonts w:hint="default"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val="en-US" w:eastAsia="zh-CN" w:bidi="ar-SA"/>
        </w:rPr>
        <w:t>GB/T 1445—2018）中规定，优级绵白糖的还原糖分限量范围为1.5—2.5g/100g。优级绵白糖中还原糖分检测值不</w:t>
      </w:r>
      <w:r>
        <w:rPr>
          <w:rFonts w:hint="default" w:ascii="Times New Roman" w:hAnsi="Times New Roman" w:eastAsia="仿宋_GB2312" w:cs="Times New Roman"/>
          <w:sz w:val="32"/>
          <w:szCs w:val="32"/>
        </w:rPr>
        <w:t>达标</w:t>
      </w:r>
      <w:r>
        <w:rPr>
          <w:rFonts w:hint="eastAsia" w:ascii="Times New Roman" w:hAnsi="Times New Roman" w:eastAsia="仿宋_GB2312" w:cs="Times New Roman"/>
          <w:kern w:val="2"/>
          <w:sz w:val="32"/>
          <w:szCs w:val="32"/>
          <w:lang w:val="en-US" w:eastAsia="zh-CN" w:bidi="ar-SA"/>
        </w:rPr>
        <w:t>的原因，可能是生产企业关键工艺控制不当，也可能与食糖运输、储存条件不佳有关。</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eastAsia="zh-CN"/>
        </w:rPr>
        <w:t>、蛋白质</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蛋白质是由氨基酸以肽键连接在一起，并形成一定空间结构的高分子有机化合物，是构成机体组织、器官和多种重要生理活性物质的成分，且提供能量。《非发酵豆制品》（GB/T 22106—2008）中规定，腐竹（干燥）的蛋白质含量应</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45.0g/100g，该批次产品中蛋白质含量不符合产品明示标准要求。腐竹中蛋白质含量不达标的原因，可能是大豆原料品质不佳，也可能是生产工艺控制不当，还可能是未进行严格的出厂检验以保证产品质量。</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BD3556-1DD8-44DB-971B-AD2726D934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BADA5EE5-2BC8-4619-B3F8-15D9FA8581C6}"/>
  </w:font>
  <w:font w:name="仿宋_GB2312">
    <w:panose1 w:val="02010609030101010101"/>
    <w:charset w:val="86"/>
    <w:family w:val="auto"/>
    <w:pitch w:val="default"/>
    <w:sig w:usb0="00000001" w:usb1="080E0000" w:usb2="00000000" w:usb3="00000000" w:csb0="00040000" w:csb1="00000000"/>
    <w:embedRegular r:id="rId3" w:fontKey="{B980965A-D035-49C5-8977-FBAD966F021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792034"/>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WE5ZTg1NWNlMGZlYmJhM2FmZTMxOGRhOGU1ZTgzMGEifQ=="/>
  </w:docVars>
  <w:rsids>
    <w:rsidRoot w:val="00000000"/>
    <w:rsid w:val="07F11F67"/>
    <w:rsid w:val="07F302C5"/>
    <w:rsid w:val="101063CD"/>
    <w:rsid w:val="175E7186"/>
    <w:rsid w:val="247E2C16"/>
    <w:rsid w:val="34D11A17"/>
    <w:rsid w:val="35D50C31"/>
    <w:rsid w:val="3DF6309D"/>
    <w:rsid w:val="472649FE"/>
    <w:rsid w:val="49AB48CC"/>
    <w:rsid w:val="54A51D66"/>
    <w:rsid w:val="575BA3AE"/>
    <w:rsid w:val="57741AF9"/>
    <w:rsid w:val="59E2134E"/>
    <w:rsid w:val="5BEC3413"/>
    <w:rsid w:val="5EFFFD24"/>
    <w:rsid w:val="664A237C"/>
    <w:rsid w:val="675C3547"/>
    <w:rsid w:val="67C47F0C"/>
    <w:rsid w:val="6B742A91"/>
    <w:rsid w:val="6BE1DF29"/>
    <w:rsid w:val="718F38B6"/>
    <w:rsid w:val="7258372B"/>
    <w:rsid w:val="74A3435F"/>
    <w:rsid w:val="7C9336B1"/>
    <w:rsid w:val="A5FF7182"/>
    <w:rsid w:val="F7EBF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15"/>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4"/>
    <w:qFormat/>
    <w:uiPriority w:val="0"/>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10">
    <w:name w:val="page number"/>
    <w:basedOn w:val="9"/>
    <w:qFormat/>
    <w:uiPriority w:val="0"/>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99"/>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4">
    <w:name w:val="正文文本缩进 Char"/>
    <w:basedOn w:val="9"/>
    <w:link w:val="3"/>
    <w:qFormat/>
    <w:uiPriority w:val="0"/>
    <w:rPr>
      <w:rFonts w:asciiTheme="minorHAnsi" w:hAnsiTheme="minorHAnsi" w:eastAsiaTheme="minorEastAsia" w:cstheme="minorBidi"/>
      <w:kern w:val="2"/>
      <w:sz w:val="21"/>
      <w:szCs w:val="22"/>
    </w:rPr>
  </w:style>
  <w:style w:type="character" w:customStyle="1" w:styleId="15">
    <w:name w:val="正文首行缩进 2 Char"/>
    <w:basedOn w:val="14"/>
    <w:link w:val="2"/>
    <w:qFormat/>
    <w:uiPriority w:val="0"/>
    <w:rPr>
      <w:rFonts w:ascii="Calibri" w:hAnsi="Calibri" w:eastAsia="仿宋" w:cstheme="minorBidi"/>
      <w:kern w:val="2"/>
      <w:sz w:val="32"/>
      <w:szCs w:val="22"/>
    </w:rPr>
  </w:style>
  <w:style w:type="paragraph" w:customStyle="1" w:styleId="16">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2026</Words>
  <Characters>2188</Characters>
  <Lines>9</Lines>
  <Paragraphs>2</Paragraphs>
  <TotalTime>26</TotalTime>
  <ScaleCrop>false</ScaleCrop>
  <LinksUpToDate>false</LinksUpToDate>
  <CharactersWithSpaces>2206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2021-01-13T01:57:00Z</dcterms:created>
  <dc:creator>ywk-rx</dc:creator>
  <cp:lastModifiedBy>lavender_zs</cp:lastModifiedBy>
  <cp:lastPrinted>2022-04-02T06:58:00Z</cp:lastPrinted>
  <dcterms:modified xsi:type="dcterms:W3CDTF">2022-12-30T07:12:08Z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D24194D9B8E64A5DBB0672D430152856</vt:lpwstr>
  </property>
</Properties>
</file>