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80" w:lineRule="atLeast"/>
        <w:jc w:val="left"/>
        <w:rPr>
          <w:rFonts w:ascii="仿宋_GB2312" w:hAnsi="仿宋_GB2312" w:eastAsia="仿宋_GB2312" w:cs="仿宋_GB2312"/>
          <w:color w:val="444444"/>
          <w:kern w:val="0"/>
          <w:sz w:val="24"/>
          <w:szCs w:val="24"/>
        </w:rPr>
      </w:pPr>
      <w:bookmarkStart w:id="0" w:name="_GoBack"/>
      <w:r>
        <w:rPr>
          <w:rFonts w:hint="eastAsia" w:ascii="仿宋_GB2312" w:hAnsi="仿宋_GB2312" w:eastAsia="仿宋_GB2312" w:cs="仿宋_GB2312"/>
          <w:color w:val="444444"/>
          <w:kern w:val="0"/>
          <w:sz w:val="24"/>
          <w:szCs w:val="24"/>
        </w:rPr>
        <w:t>采购需求表：</w:t>
      </w:r>
    </w:p>
    <w:bookmarkEnd w:id="0"/>
    <w:tbl>
      <w:tblPr>
        <w:tblStyle w:val="6"/>
        <w:tblW w:w="9539" w:type="dxa"/>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310"/>
        <w:gridCol w:w="30"/>
        <w:gridCol w:w="572"/>
        <w:gridCol w:w="915"/>
        <w:gridCol w:w="29"/>
        <w:gridCol w:w="764"/>
        <w:gridCol w:w="29"/>
        <w:gridCol w:w="667"/>
        <w:gridCol w:w="29"/>
        <w:gridCol w:w="541"/>
        <w:gridCol w:w="29"/>
        <w:gridCol w:w="764"/>
        <w:gridCol w:w="29"/>
        <w:gridCol w:w="681"/>
        <w:gridCol w:w="29"/>
        <w:gridCol w:w="831"/>
        <w:gridCol w:w="29"/>
        <w:gridCol w:w="823"/>
        <w:gridCol w:w="29"/>
        <w:gridCol w:w="542"/>
        <w:gridCol w:w="29"/>
        <w:gridCol w:w="542"/>
        <w:gridCol w:w="29"/>
        <w:gridCol w:w="542"/>
        <w:gridCol w:w="29"/>
        <w:gridCol w:w="6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Heade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包号</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产品类别</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产品名称</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品目名称</w:t>
            </w: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预计批次数</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技术机构数</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可抽查时间（月）</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抽样最高限价(元/批次)</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检验最高限价(元/批次)</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单批次费用最高限价（元/批次）</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产品检验周期（日/批次）</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整体抽检工作完成周期(日)</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每位中标人预计分配批次数</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实施地点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羊绒针织衫</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3600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西服、大衣</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1350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1590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2940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针织内衣</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3700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休闲服装</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1260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3260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床上用品</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1350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2535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3885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运动头盔</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4400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衬衫</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背提包</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1350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3970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机动车儿童乘员用约束系统</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16110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18110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轮滑鞋</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3650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5650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旅游鞋</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3240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5240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泳衣</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1530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童鞋</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6277</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8777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室外健身器材</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3700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5700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儿童及婴幼儿服装</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1350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4170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5520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皮鞋</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6820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毛巾</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1730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3730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袜子</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1580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羽绒服装</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1350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3470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皮革服装</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1350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2385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3735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蚕丝被</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2720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羽绒被</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2710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5710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晴雨伞</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3770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5770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雨靴</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3065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5365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w:t>
            </w:r>
          </w:p>
        </w:tc>
        <w:tc>
          <w:tcPr>
            <w:tcW w:w="558"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雪地靴</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儿童雪地靴（标称QB/T 2880-2016）</w:t>
            </w:r>
          </w:p>
        </w:tc>
        <w:tc>
          <w:tcPr>
            <w:tcW w:w="682"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1125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3125</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90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雪地靴（标称QB/T 4556-2013、标称QB/T 2955-2017、标称QB/T 1002-2015）、儿童鞋安全技术规范（GB 30585-2014）</w:t>
            </w:r>
          </w:p>
        </w:tc>
        <w:tc>
          <w:tcPr>
            <w:tcW w:w="682"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6"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5568</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7568</w:t>
            </w: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7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室内健身器材</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4227</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6727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羽毛球</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4420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乒乓球</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3720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羽毛球拍</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3620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乒乓球拍</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3620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排球</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4120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篮球</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4420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足球</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4420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围巾披肩</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1450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3820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羊毛衫</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1350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1480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2830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睡衣居家服</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1350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1480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2830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童车</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4650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T恤衫</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1350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1920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3270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丝绸服装</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1970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3970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玩具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4367</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6867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学生文具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5630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7630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旅行箱包</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3472</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5972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日用及纺织品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冲锋衣</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2065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4065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电动自行车</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12880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14880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烟花爆竹</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4150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5150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家用燃气快速热水器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3470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纸尿裤（片、垫）</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4220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衣料用液体洗涤剂</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家用燃气灶</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3112</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4712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纸巾纸</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3670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5670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51</w:t>
            </w:r>
          </w:p>
        </w:tc>
        <w:tc>
          <w:tcPr>
            <w:tcW w:w="558"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儿童家具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转椅类</w:t>
            </w:r>
          </w:p>
        </w:tc>
        <w:tc>
          <w:tcPr>
            <w:tcW w:w="682"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12842</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15142</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90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其他儿童家具</w:t>
            </w:r>
          </w:p>
        </w:tc>
        <w:tc>
          <w:tcPr>
            <w:tcW w:w="682"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6"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7663</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9963</w:t>
            </w: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7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沙发</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2800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6310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9110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办公椅</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9950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11950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洗手液</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3220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5220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棕纤维弹性床垫</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2900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4450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7350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卫生纸</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4370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家用清洁剂</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1516</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3516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自行车</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6200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眼镜镜片</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4584</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5584</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眼镜架</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太阳镜</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4420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5420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老视成镜</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2592</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3592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游泳眼镜</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3125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4125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木制家具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5275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燃气采暖热水炉</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12850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14850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弹簧软床垫</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2900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7750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燃气用不锈钢波纹软管</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4150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5650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家用双层床</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5650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金属家具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2900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10027</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12927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手动轮椅车</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18400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20400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轻工产品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仿真饰品</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农业生产资料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机动脱粒机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9800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14800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农业生产资料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复混肥料</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1520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2210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3730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农业生产资料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磷肥</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1465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3265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农业生产资料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氮肥</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1520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1290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2810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农业生产资料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潜水电泵</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12520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农业生产资料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水泵（地面泵）</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11829</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14829</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农业生产资料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钾肥</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3220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农业生产资料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有机肥料</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1520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3420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4940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农业生产资料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滴灌带</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2650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6615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9265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热轧带肋钢筋</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4200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6200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82</w:t>
            </w:r>
          </w:p>
        </w:tc>
        <w:tc>
          <w:tcPr>
            <w:tcW w:w="558"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建筑防水卷材</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预铺防水卷材、湿铺防水卷材</w:t>
            </w:r>
          </w:p>
        </w:tc>
        <w:tc>
          <w:tcPr>
            <w:tcW w:w="682"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180</w:t>
            </w:r>
          </w:p>
        </w:tc>
        <w:tc>
          <w:tcPr>
            <w:tcW w:w="556"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77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9779</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14279</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90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弹性体改性沥青防水卷材、自粘聚合物改性沥青防水卷材、聚氯乙烯（PVC）防水卷材、高分子防水卷材</w:t>
            </w:r>
          </w:p>
        </w:tc>
        <w:tc>
          <w:tcPr>
            <w:tcW w:w="682"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6"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7713</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12213</w:t>
            </w: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7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聚乙烯（PE）管材</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建筑用密封胶</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5950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8950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硬聚氯乙烯(PVC-U)管材及管件</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2850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3850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建筑用外墙涂料</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3800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绝热用挤塑聚苯乙烯泡沫塑料（XPS）</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3800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6800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热轧光圆钢筋</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3150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5150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水泥</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4448</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6448</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合成树脂乳液内墙涂料</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3100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5300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冷轧带肋钢筋</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4350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建筑用绝缘电工套管</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3950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5450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预应力混凝土用钢绞线</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4180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6680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土工合成材料</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2387</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6387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中密度纤维板</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7250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9250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刨花板</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7250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9250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壁纸</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5670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陶瓷坐便器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5443</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7443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陶瓷砖</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4250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7250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卫生陶瓷（洗面器）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2150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1410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新型墙体材料（砖和砌块）</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6450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8950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淋浴用花洒</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5310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7310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浸渍纸层压木质地板</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104</w:t>
            </w:r>
          </w:p>
        </w:tc>
        <w:tc>
          <w:tcPr>
            <w:tcW w:w="558"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卫生洁具软管</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连接软管、洗涤软管</w:t>
            </w:r>
          </w:p>
        </w:tc>
        <w:tc>
          <w:tcPr>
            <w:tcW w:w="682"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7450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9450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90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淋浴软管</w:t>
            </w:r>
          </w:p>
        </w:tc>
        <w:tc>
          <w:tcPr>
            <w:tcW w:w="682"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6"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5650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7650</w:t>
            </w: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7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陶瓷片密封水嘴</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11650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13650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106</w:t>
            </w:r>
          </w:p>
        </w:tc>
        <w:tc>
          <w:tcPr>
            <w:tcW w:w="558"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铝塑复合板</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建筑幕墙用铝塑复合板</w:t>
            </w:r>
          </w:p>
        </w:tc>
        <w:tc>
          <w:tcPr>
            <w:tcW w:w="682"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12560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16560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90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普通装饰用铝塑复合板（不做燃烧性能）</w:t>
            </w:r>
          </w:p>
        </w:tc>
        <w:tc>
          <w:tcPr>
            <w:tcW w:w="682"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6"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3728.4</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7728.4</w:t>
            </w: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7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90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普通装饰用铝塑复合板（做燃烧性能）</w:t>
            </w:r>
          </w:p>
        </w:tc>
        <w:tc>
          <w:tcPr>
            <w:tcW w:w="682"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6"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8760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12760</w:t>
            </w: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7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卫浴家具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9349</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12349</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非接触式水嘴</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6646</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8946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岩棉板</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11100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15100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铝合金建筑型材</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6724</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9324</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家用不锈钢水槽</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3530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5530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溶剂型木器涂料</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5566</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8066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混凝土输水管</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3243</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6243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便器压力冲洗阀</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4710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6710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115</w:t>
            </w:r>
          </w:p>
        </w:tc>
        <w:tc>
          <w:tcPr>
            <w:tcW w:w="558"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恒温水嘴</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机械式恒温水嘴（面盆、厨房）</w:t>
            </w:r>
          </w:p>
        </w:tc>
        <w:tc>
          <w:tcPr>
            <w:tcW w:w="682"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13174.3</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15174.3</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90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机械式恒温水嘴（浴缸、淋浴）、数控恒温水嘴（面盆、厨房、浴缸、淋浴）</w:t>
            </w:r>
          </w:p>
        </w:tc>
        <w:tc>
          <w:tcPr>
            <w:tcW w:w="682"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6"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6627</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8627</w:t>
            </w: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7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地漏</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5110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7110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117</w:t>
            </w:r>
          </w:p>
        </w:tc>
        <w:tc>
          <w:tcPr>
            <w:tcW w:w="558"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建筑和装饰装修材料</w:t>
            </w:r>
          </w:p>
        </w:tc>
        <w:tc>
          <w:tcPr>
            <w:tcW w:w="901"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智能坐便器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一体式</w:t>
            </w:r>
          </w:p>
        </w:tc>
        <w:tc>
          <w:tcPr>
            <w:tcW w:w="682"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6"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16320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19320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90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分体式</w:t>
            </w:r>
          </w:p>
        </w:tc>
        <w:tc>
          <w:tcPr>
            <w:tcW w:w="682"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6"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11430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14430</w:t>
            </w: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7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电能表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水表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9350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锁具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3300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4686</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7986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容积式空气压缩机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8374</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11374</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人民币鉴别仪</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9010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11310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发动机润滑油</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8520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10520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危险化学品包装物</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3400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4250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7650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汽车轮胎</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6880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9480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摩托车轮胎</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4380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6880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摩托车乘员头盔</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4302</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6302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汽车安全带</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14270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16270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机动车外部照明及光信号装置</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7796</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9796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汽车内饰材料</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1520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740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0.5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制动软管</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7080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消防应急灯具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10220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消防水带</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11455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13255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机动车发动机冷却液</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6363</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9363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机动车辆制动液</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6570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安全帽</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3855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5855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安全网</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电子计价秤</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膜式燃气表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安全带</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4496</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6496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钻井悬吊工具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7200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15000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22200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抽油机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7200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27200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抽油泵</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6400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15000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21400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抽油杆及其接箍</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16150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24150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0.5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汽车风窗玻璃清洗液</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5620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7620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摩托车制动蹄组件和制动衬组件</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6270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8270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防盗保险柜（箱）</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3200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10375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13575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可燃气体探测器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6300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自吸过滤式防颗粒物呼吸器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汽车后视镜</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6520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汽车防飞溅装置</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汽车座椅及头枕</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36750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38750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防静电服</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3820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5820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电绝缘鞋</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保护足趾安全（防护）鞋</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4150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6150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一般压力表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10520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测量互感器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8950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防爆电器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5950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7950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防爆电机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8900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机械及安防</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防爆灯具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6320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8320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电冰箱</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2800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28000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30800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电烤箱及烘烤器具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6550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8550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吸油烟机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11721</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13721</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家用电动洗衣机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9300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11300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电磁灶</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8727</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10727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电压力锅</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4860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6860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室内加热器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4650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6650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电热水壶</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4349</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6349</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电源适配器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12610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14610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170</w:t>
            </w:r>
          </w:p>
        </w:tc>
        <w:tc>
          <w:tcPr>
            <w:tcW w:w="558"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房间空气调节器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定频型空调器</w:t>
            </w:r>
          </w:p>
        </w:tc>
        <w:tc>
          <w:tcPr>
            <w:tcW w:w="682"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19550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21550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90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变频型空调器</w:t>
            </w:r>
          </w:p>
        </w:tc>
        <w:tc>
          <w:tcPr>
            <w:tcW w:w="682"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6"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28850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30850</w:t>
            </w: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7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储水式电热水器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10660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12660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食具消毒柜</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6200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8200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集成电路（IC）卡读写机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13800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15800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路由器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5470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7470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可移式通用灯具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7852</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10452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LED控制装置</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5960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8460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电风扇</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11327</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13327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有源音箱</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7790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10290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彩色电视机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3100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15150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18250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快热式电热水器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3803</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5803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热泵热水机（器）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2800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18107</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20907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自动电饭锅</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8870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10870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固定式通用灯具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6907</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9507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电热毯</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7590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按摩器具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8750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10750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织物蒸汽机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5310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7310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咖啡机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5330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7330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洗碗机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8753</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10753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衣物干燥机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7055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9055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190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除湿机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18110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20110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191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加湿器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7400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9700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192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电蒸锅</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4830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7130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193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电炖锅</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4830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7130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194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电火锅/多用途锅</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4830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7130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195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煮蛋器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4830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7130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196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酸奶机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4830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6830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197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电热暖手器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5090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6590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198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打印机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12790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14790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199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信息技术设备用不间断电源</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15900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17900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微型计算机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14565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16565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投影机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16590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18590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嵌入式LED灯具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9420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自镇流LED灯</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4920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7420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冷柜</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2800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18040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20840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电饼铛</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5420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7420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移动电源</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14220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16220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行车记录仪</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9320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11320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声频功率放大器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5230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7230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液晶显示器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14980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17480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空气净化器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21000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23500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电子电器</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皮肤及毛发护理器具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6400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8700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砂轮</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3900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高强度紧固件</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7317</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9317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电弧焊机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3760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6260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电动工具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1880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6819</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8699</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家用和类似用途插头插座</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2135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4635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家用和类似用途固定式电气装置的开关（墙壁开关）</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2279</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4779</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家用和类似用途剩余电流动作断路器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9934</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11934</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家用及类似场所用过电流保护断路器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6976</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8976</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电线组件</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5609</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8109</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电力变压器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17650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24550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复合外套无间隙金属氧化物避雷器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11050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光伏并网逆变器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1700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9250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10950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塑料外壳式断路器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7720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9720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隔离开关</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9530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11530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器具开关</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3120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5120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三相异步电动机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10870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12370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永磁直流电动机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229</w:t>
            </w:r>
          </w:p>
        </w:tc>
        <w:tc>
          <w:tcPr>
            <w:tcW w:w="558"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汽车传动带</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汽车V带、汽车多楔带</w:t>
            </w:r>
          </w:p>
        </w:tc>
        <w:tc>
          <w:tcPr>
            <w:tcW w:w="682"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2630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4630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90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汽车同步带</w:t>
            </w:r>
          </w:p>
        </w:tc>
        <w:tc>
          <w:tcPr>
            <w:tcW w:w="682"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6"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14640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16640</w:t>
            </w: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7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230</w:t>
            </w:r>
          </w:p>
        </w:tc>
        <w:tc>
          <w:tcPr>
            <w:tcW w:w="558"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阻燃输送带</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煤矿用织物整芯阻燃输送带（PVC型）产品、煤矿用织物整芯阻燃输送带（PVG型）产品</w:t>
            </w:r>
          </w:p>
        </w:tc>
        <w:tc>
          <w:tcPr>
            <w:tcW w:w="682"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6"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11455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13455</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90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一般用途织物芯阻燃输送带产品</w:t>
            </w:r>
          </w:p>
        </w:tc>
        <w:tc>
          <w:tcPr>
            <w:tcW w:w="682"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6"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6710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8710</w:t>
            </w: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7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橡胶密封制品</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280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7745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9245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232</w:t>
            </w:r>
          </w:p>
        </w:tc>
        <w:tc>
          <w:tcPr>
            <w:tcW w:w="558"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橡胶软管和软管组合件</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钢丝编织增强液压橡胶软管和软管组合件、钢丝编织增强液压橡胶软管、钢丝缠绕增强外覆橡胶的液压橡胶软管组合件产品</w:t>
            </w:r>
          </w:p>
        </w:tc>
        <w:tc>
          <w:tcPr>
            <w:tcW w:w="682"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360</w:t>
            </w:r>
          </w:p>
        </w:tc>
        <w:tc>
          <w:tcPr>
            <w:tcW w:w="556"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w:t>
            </w:r>
          </w:p>
        </w:tc>
        <w:tc>
          <w:tcPr>
            <w:tcW w:w="77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19090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22090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90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钢丝编织增强液压橡胶软管组合件</w:t>
            </w:r>
          </w:p>
        </w:tc>
        <w:tc>
          <w:tcPr>
            <w:tcW w:w="682"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6"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11342</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14342</w:t>
            </w: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7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90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钢丝缠绕增强外覆橡胶的液压橡胶软管和软管组合件产品、钢丝缠绕增强外覆橡胶的液压橡胶软管产品</w:t>
            </w:r>
          </w:p>
        </w:tc>
        <w:tc>
          <w:tcPr>
            <w:tcW w:w="682"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6"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28050</w:t>
            </w: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7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铜及铜合金管材</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4009</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6609</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蓄电池</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5843</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6843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钛及钛合金加工产品</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4091</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6691</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电力金具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8-11</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6700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延长线插座（带电源适配器）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9570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11870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原电池</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4720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6720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239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永磁同步电动机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10940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12440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小功率电动机</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6225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8425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镁碳砖</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3800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6040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9840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242</w:t>
            </w:r>
          </w:p>
        </w:tc>
        <w:tc>
          <w:tcPr>
            <w:tcW w:w="558"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电线电缆</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电力电缆、聚氯乙烯绝缘电缆电线、控制电缆</w:t>
            </w:r>
          </w:p>
        </w:tc>
        <w:tc>
          <w:tcPr>
            <w:tcW w:w="682"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800</w:t>
            </w:r>
          </w:p>
        </w:tc>
        <w:tc>
          <w:tcPr>
            <w:tcW w:w="556"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779"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12187</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14187</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90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架空绝缘电缆、橡皮绝缘电缆</w:t>
            </w:r>
          </w:p>
        </w:tc>
        <w:tc>
          <w:tcPr>
            <w:tcW w:w="682"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6"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779"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4190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6190</w:t>
            </w: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55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c>
          <w:tcPr>
            <w:tcW w:w="67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仿宋_GB2312" w:eastAsia="仿宋_GB2312" w:cs="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电工及材料</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阀门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4650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6650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复合膜袋</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5250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6350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非复合膜袋</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1350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5050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6400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聚对苯二甲酸乙二醇酯（PET）瓶</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5370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婴幼儿用塑料奶瓶</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1350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3390.4</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4740.4</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聚碳酸酯（PC）饮用水罐</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1150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3300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4450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塑料杯</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1050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5100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塑料瓶盖</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密胺塑料餐具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4100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5300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塑料一次性餐饮具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3755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5555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塑料菜板</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2995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4495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食品包装用纸和纸板材料</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2238.5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3838.5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纸杯</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1070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5620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食品接触用纸容器</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1800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5350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257</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玻璃酒瓶</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150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2910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4510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258</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玻璃食品瓶罐</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2440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2850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5290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259</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与食品接触的玻璃器皿</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1100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2870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3970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260</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不锈钢真空杯</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1400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6600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261</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不锈钢餐厨具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3900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6900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262</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铝及铝合金不粘锅</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5250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7850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263</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压力锅</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6600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8600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264</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工业和商用电热食品加工设备</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80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6860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10360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265</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工业和商用电动食品加工设备</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3500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5951</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9451</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31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266</w:t>
            </w:r>
          </w:p>
        </w:tc>
        <w:tc>
          <w:tcPr>
            <w:tcW w:w="558"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01"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餐具洗涤剂</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220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2000</w:t>
            </w:r>
          </w:p>
        </w:tc>
        <w:tc>
          <w:tcPr>
            <w:tcW w:w="875"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3210</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5210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675"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trPr>
        <w:tc>
          <w:tcPr>
            <w:tcW w:w="289"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267</w:t>
            </w:r>
          </w:p>
        </w:tc>
        <w:tc>
          <w:tcPr>
            <w:tcW w:w="58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食品相关产品</w:t>
            </w:r>
          </w:p>
        </w:tc>
        <w:tc>
          <w:tcPr>
            <w:tcW w:w="930"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一次性竹木筷</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p>
        </w:tc>
        <w:tc>
          <w:tcPr>
            <w:tcW w:w="682"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160</w:t>
            </w:r>
          </w:p>
        </w:tc>
        <w:tc>
          <w:tcPr>
            <w:tcW w:w="55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4-8</w:t>
            </w:r>
          </w:p>
        </w:tc>
        <w:tc>
          <w:tcPr>
            <w:tcW w:w="696"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1320</w:t>
            </w:r>
          </w:p>
        </w:tc>
        <w:tc>
          <w:tcPr>
            <w:tcW w:w="817" w:type="dxa"/>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2105</w:t>
            </w:r>
          </w:p>
        </w:tc>
        <w:tc>
          <w:tcPr>
            <w:tcW w:w="838"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3425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75</w:t>
            </w:r>
          </w:p>
        </w:tc>
        <w:tc>
          <w:tcPr>
            <w:tcW w:w="557"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平均分配</w:t>
            </w:r>
          </w:p>
        </w:tc>
        <w:tc>
          <w:tcPr>
            <w:tcW w:w="704"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225" w:after="225" w:line="480" w:lineRule="atLeast"/>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采购人指定地点</w:t>
            </w:r>
          </w:p>
        </w:tc>
      </w:tr>
    </w:tbl>
    <w:p>
      <w:pPr>
        <w:widowControl/>
        <w:shd w:val="clear" w:color="auto" w:fill="FFFFFF"/>
        <w:wordWrap w:val="0"/>
        <w:spacing w:line="480" w:lineRule="atLeast"/>
        <w:ind w:firstLine="480" w:firstLineChars="200"/>
        <w:jc w:val="left"/>
        <w:rPr>
          <w:rFonts w:ascii="仿宋_GB2312" w:hAnsi="仿宋_GB2312" w:eastAsia="仿宋_GB2312" w:cs="仿宋_GB2312"/>
          <w:color w:val="444444"/>
          <w:kern w:val="0"/>
          <w:sz w:val="24"/>
          <w:szCs w:val="24"/>
        </w:rPr>
      </w:pPr>
      <w:r>
        <w:rPr>
          <w:rFonts w:hint="eastAsia" w:ascii="仿宋_GB2312" w:hAnsi="仿宋_GB2312" w:eastAsia="仿宋_GB2312" w:cs="仿宋_GB2312"/>
          <w:color w:val="444444"/>
          <w:kern w:val="0"/>
          <w:sz w:val="24"/>
          <w:szCs w:val="24"/>
        </w:rPr>
        <w:t>注</w:t>
      </w:r>
      <w:r>
        <w:rPr>
          <w:rFonts w:ascii="仿宋_GB2312" w:hAnsi="仿宋_GB2312" w:eastAsia="仿宋_GB2312" w:cs="仿宋_GB2312"/>
          <w:color w:val="444444"/>
          <w:kern w:val="0"/>
          <w:sz w:val="24"/>
          <w:szCs w:val="24"/>
        </w:rPr>
        <w:t xml:space="preserve">1. </w:t>
      </w:r>
      <w:r>
        <w:rPr>
          <w:rFonts w:hint="eastAsia" w:ascii="仿宋_GB2312" w:hAnsi="仿宋_GB2312" w:eastAsia="仿宋_GB2312" w:cs="仿宋_GB2312"/>
          <w:color w:val="444444"/>
          <w:kern w:val="0"/>
          <w:sz w:val="24"/>
          <w:szCs w:val="24"/>
        </w:rPr>
        <w:t>投标人对照自己抽样和检验能力选择对以上各包进行单价报价，且不得超过各项最高限价（抽样最高限价、检验最高限价和单批次费用最高限价）。</w:t>
      </w:r>
    </w:p>
    <w:p>
      <w:pPr>
        <w:widowControl/>
        <w:shd w:val="clear" w:color="auto" w:fill="FFFFFF"/>
        <w:wordWrap w:val="0"/>
        <w:spacing w:line="480" w:lineRule="atLeast"/>
        <w:ind w:firstLine="480" w:firstLineChars="200"/>
        <w:jc w:val="left"/>
        <w:rPr>
          <w:rFonts w:ascii="仿宋_GB2312" w:hAnsi="仿宋_GB2312" w:eastAsia="仿宋_GB2312" w:cs="仿宋_GB2312"/>
          <w:color w:val="444444"/>
          <w:kern w:val="0"/>
          <w:sz w:val="24"/>
          <w:szCs w:val="24"/>
        </w:rPr>
      </w:pPr>
      <w:r>
        <w:rPr>
          <w:rFonts w:ascii="仿宋_GB2312" w:hAnsi="仿宋_GB2312" w:eastAsia="仿宋_GB2312" w:cs="仿宋_GB2312"/>
          <w:color w:val="444444"/>
          <w:kern w:val="0"/>
          <w:sz w:val="24"/>
          <w:szCs w:val="24"/>
        </w:rPr>
        <w:t xml:space="preserve">2. </w:t>
      </w:r>
      <w:r>
        <w:rPr>
          <w:rFonts w:hint="eastAsia" w:ascii="仿宋_GB2312" w:hAnsi="仿宋_GB2312" w:eastAsia="仿宋_GB2312" w:cs="仿宋_GB2312"/>
          <w:color w:val="444444"/>
          <w:kern w:val="0"/>
          <w:sz w:val="24"/>
          <w:szCs w:val="24"/>
        </w:rPr>
        <w:t>投标人可以投一个包或多个包，但不允许拆包投标；即对于一个包，投标人必须对该包要求的所有服务进行响应。</w:t>
      </w:r>
    </w:p>
    <w:p>
      <w:pPr>
        <w:widowControl/>
        <w:shd w:val="clear" w:color="auto" w:fill="FFFFFF"/>
        <w:wordWrap w:val="0"/>
        <w:spacing w:line="480" w:lineRule="atLeast"/>
        <w:ind w:firstLine="480" w:firstLineChars="200"/>
        <w:jc w:val="left"/>
        <w:rPr>
          <w:rFonts w:ascii="仿宋_GB2312" w:hAnsi="仿宋_GB2312" w:eastAsia="仿宋_GB2312" w:cs="仿宋_GB2312"/>
          <w:color w:val="444444"/>
          <w:kern w:val="0"/>
          <w:sz w:val="24"/>
          <w:szCs w:val="24"/>
        </w:rPr>
      </w:pPr>
      <w:r>
        <w:rPr>
          <w:rFonts w:ascii="仿宋_GB2312" w:hAnsi="仿宋_GB2312" w:eastAsia="仿宋_GB2312" w:cs="仿宋_GB2312"/>
          <w:color w:val="444444"/>
          <w:kern w:val="0"/>
          <w:sz w:val="24"/>
          <w:szCs w:val="24"/>
        </w:rPr>
        <w:t xml:space="preserve">3. </w:t>
      </w:r>
      <w:r>
        <w:rPr>
          <w:rFonts w:hint="eastAsia" w:ascii="仿宋_GB2312" w:hAnsi="仿宋_GB2312" w:eastAsia="仿宋_GB2312" w:cs="仿宋_GB2312"/>
          <w:color w:val="444444"/>
          <w:kern w:val="0"/>
          <w:sz w:val="24"/>
          <w:szCs w:val="24"/>
        </w:rPr>
        <w:t>各产品抽查时间是指开展该产品抽样检验工作时间，中标人应按照相关时限要求完成抽样检验任务，避免因任务量过多影响抽样检验工作进程。</w:t>
      </w:r>
    </w:p>
    <w:p>
      <w:pPr>
        <w:widowControl/>
        <w:shd w:val="clear" w:color="auto" w:fill="FFFFFF"/>
        <w:wordWrap w:val="0"/>
        <w:spacing w:line="480" w:lineRule="atLeast"/>
        <w:ind w:firstLine="480" w:firstLineChars="200"/>
        <w:jc w:val="left"/>
        <w:rPr>
          <w:rFonts w:ascii="仿宋_GB2312" w:hAnsi="仿宋_GB2312" w:eastAsia="仿宋_GB2312" w:cs="仿宋_GB2312"/>
          <w:color w:val="444444"/>
          <w:kern w:val="0"/>
          <w:sz w:val="24"/>
          <w:szCs w:val="24"/>
        </w:rPr>
      </w:pPr>
      <w:r>
        <w:rPr>
          <w:rFonts w:ascii="仿宋_GB2312" w:hAnsi="仿宋_GB2312" w:eastAsia="仿宋_GB2312" w:cs="仿宋_GB2312"/>
          <w:color w:val="444444"/>
          <w:kern w:val="0"/>
          <w:sz w:val="24"/>
          <w:szCs w:val="24"/>
        </w:rPr>
        <w:t>4.“平均分配”是指每包产品中标机构的任务数=该包产品任务批次总数÷该包产品中标机构数。</w:t>
      </w:r>
    </w:p>
    <w:p>
      <w:pPr>
        <w:widowControl/>
        <w:shd w:val="clear" w:color="auto" w:fill="FFFFFF"/>
        <w:wordWrap w:val="0"/>
        <w:spacing w:line="480" w:lineRule="atLeast"/>
        <w:ind w:right="240"/>
        <w:jc w:val="center"/>
        <w:rPr>
          <w:rFonts w:ascii="仿宋_GB2312" w:hAnsi="仿宋_GB2312" w:eastAsia="仿宋_GB2312" w:cs="仿宋_GB2312"/>
          <w:color w:val="444444"/>
          <w:kern w:val="0"/>
          <w:sz w:val="24"/>
          <w:szCs w:val="24"/>
        </w:rPr>
      </w:pPr>
    </w:p>
    <w:p>
      <w:pPr>
        <w:rPr>
          <w:rFonts w:ascii="仿宋_GB2312" w:hAnsi="仿宋_GB2312" w:eastAsia="仿宋_GB2312" w:cs="仿宋_GB2312"/>
        </w:rPr>
      </w:pPr>
    </w:p>
    <w:sectPr>
      <w:pgSz w:w="11906" w:h="16838"/>
      <w:pgMar w:top="1985" w:right="1361"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465"/>
    <w:rsid w:val="006A69CE"/>
    <w:rsid w:val="008854B9"/>
    <w:rsid w:val="009E207D"/>
    <w:rsid w:val="00B57014"/>
    <w:rsid w:val="00CB4FF6"/>
    <w:rsid w:val="00D03465"/>
    <w:rsid w:val="60E3078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4" w:lineRule="exact"/>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line="240" w:lineRule="auto"/>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semiHidden/>
    <w:unhideWhenUsed/>
    <w:uiPriority w:val="0"/>
    <w:pPr>
      <w:spacing w:line="240" w:lineRule="auto"/>
    </w:pPr>
    <w:rPr>
      <w:sz w:val="18"/>
      <w:szCs w:val="18"/>
    </w:rPr>
  </w:style>
  <w:style w:type="paragraph" w:styleId="4">
    <w:name w:val="footer"/>
    <w:basedOn w:val="1"/>
    <w:link w:val="11"/>
    <w:semiHidden/>
    <w:unhideWhenUsed/>
    <w:uiPriority w:val="0"/>
    <w:pPr>
      <w:tabs>
        <w:tab w:val="center" w:pos="4153"/>
        <w:tab w:val="right" w:pos="8306"/>
      </w:tabs>
      <w:snapToGrid w:val="0"/>
      <w:spacing w:line="240" w:lineRule="atLeast"/>
      <w:jc w:val="left"/>
    </w:pPr>
    <w:rPr>
      <w:sz w:val="18"/>
      <w:szCs w:val="18"/>
    </w:rPr>
  </w:style>
  <w:style w:type="paragraph" w:styleId="5">
    <w:name w:val="header"/>
    <w:basedOn w:val="1"/>
    <w:link w:val="10"/>
    <w:semiHidden/>
    <w:unhideWhenUsed/>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标题 1 Char"/>
    <w:basedOn w:val="7"/>
    <w:link w:val="2"/>
    <w:qFormat/>
    <w:uiPriority w:val="9"/>
    <w:rPr>
      <w:rFonts w:ascii="宋体" w:hAnsi="宋体" w:eastAsia="宋体" w:cs="宋体"/>
      <w:b/>
      <w:bCs/>
      <w:kern w:val="36"/>
      <w:sz w:val="48"/>
      <w:szCs w:val="48"/>
    </w:rPr>
  </w:style>
  <w:style w:type="character" w:customStyle="1" w:styleId="9">
    <w:name w:val="批注框文本 Char"/>
    <w:basedOn w:val="7"/>
    <w:link w:val="3"/>
    <w:semiHidden/>
    <w:uiPriority w:val="0"/>
    <w:rPr>
      <w:rFonts w:ascii="Calibri" w:hAnsi="Calibri"/>
      <w:kern w:val="2"/>
      <w:sz w:val="18"/>
      <w:szCs w:val="18"/>
    </w:rPr>
  </w:style>
  <w:style w:type="character" w:customStyle="1" w:styleId="10">
    <w:name w:val="页眉 Char"/>
    <w:basedOn w:val="7"/>
    <w:link w:val="5"/>
    <w:semiHidden/>
    <w:uiPriority w:val="0"/>
    <w:rPr>
      <w:rFonts w:ascii="Calibri" w:hAnsi="Calibri"/>
      <w:kern w:val="2"/>
      <w:sz w:val="18"/>
      <w:szCs w:val="18"/>
    </w:rPr>
  </w:style>
  <w:style w:type="character" w:customStyle="1" w:styleId="11">
    <w:name w:val="页脚 Char"/>
    <w:basedOn w:val="7"/>
    <w:link w:val="4"/>
    <w:semiHidden/>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83</Pages>
  <Words>3396</Words>
  <Characters>19363</Characters>
  <Lines>161</Lines>
  <Paragraphs>45</Paragraphs>
  <TotalTime>51</TotalTime>
  <ScaleCrop>false</ScaleCrop>
  <LinksUpToDate>false</LinksUpToDate>
  <CharactersWithSpaces>22714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2019-04-28T01:18:00Z</dcterms:created>
  <dc:creator>Windows 用户</dc:creator>
  <cp:lastModifiedBy>HP</cp:lastModifiedBy>
  <dcterms:modified xsi:type="dcterms:W3CDTF">2019-04-28T08:38:23Z</dcterms:modified>
  <dc:title>国家市场监督管理总局产品质量安全监督管理司关于2019年度产品质量国家监督抽查抽样检验机构技术服务公开招标项目的公告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