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01ce51f9a6b648b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80C0C" w14:textId="76A53279" w:rsidR="00AB1591" w:rsidRDefault="00AB1591" w:rsidP="00AB1591">
      <w:pPr>
        <w:spacing w:line="360" w:lineRule="auto"/>
        <w:jc w:val="center"/>
        <w:rPr>
          <w:rFonts w:ascii="SimHei" w:eastAsia="SimHei" w:hAnsi="SimHei" w:cs="SimHei"/>
          <w:bCs/>
          <w:sz w:val="36"/>
          <w:szCs w:val="36"/>
        </w:rPr>
      </w:pPr>
      <w:r>
        <w:rPr>
          <w:rFonts w:ascii="SimHei" w:eastAsia="SimHei" w:hAnsi="SimHei" w:cs="SimHei" w:hint="eastAsia"/>
          <w:bCs/>
          <w:sz w:val="36"/>
          <w:szCs w:val="36"/>
        </w:rPr>
        <w:t>经营者集中简易案件公示表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1"/>
        <w:gridCol w:w="1478"/>
        <w:gridCol w:w="6101"/>
      </w:tblGrid>
      <w:tr w:rsidR="00AB1591" w14:paraId="2582B65E" w14:textId="77777777" w:rsidTr="00165C83">
        <w:trPr>
          <w:trHeight w:val="764"/>
          <w:jc w:val="center"/>
        </w:trPr>
        <w:tc>
          <w:tcPr>
            <w:tcW w:w="2061" w:type="dxa"/>
            <w:shd w:val="clear" w:color="auto" w:fill="D9D9D9"/>
            <w:vAlign w:val="center"/>
          </w:tcPr>
          <w:p w14:paraId="02098584" w14:textId="77777777" w:rsidR="00AB1591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/>
              </w:rPr>
            </w:pPr>
            <w:proofErr w:type="spellStart"/>
            <w:r>
              <w:rPr>
                <w:rFonts w:ascii="SimSun" w:hAnsi="SimSun" w:cs="SimSun" w:hint="eastAsia"/>
                <w:bCs/>
                <w:color w:val="000000"/>
              </w:rPr>
              <w:t>案件名称</w:t>
            </w:r>
            <w:proofErr w:type="spellEnd"/>
          </w:p>
        </w:tc>
        <w:tc>
          <w:tcPr>
            <w:tcW w:w="7579" w:type="dxa"/>
            <w:gridSpan w:val="2"/>
            <w:vAlign w:val="center"/>
          </w:tcPr>
          <w:p w14:paraId="4253D798" w14:textId="07A1F537" w:rsidR="00AB1591" w:rsidRPr="00CD51C8" w:rsidRDefault="00CD51C8" w:rsidP="00C546D3">
            <w:pPr>
              <w:spacing w:after="60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CD51C8">
              <w:rPr>
                <w:rFonts w:ascii="Arial" w:hAnsi="Arial" w:cs="Arial"/>
                <w:bCs/>
                <w:color w:val="000000"/>
                <w:lang w:val="en-US"/>
              </w:rPr>
              <w:t xml:space="preserve">Industrielle </w:t>
            </w:r>
            <w:proofErr w:type="spellStart"/>
            <w:r w:rsidRPr="00CD51C8">
              <w:rPr>
                <w:rFonts w:ascii="Arial" w:hAnsi="Arial" w:cs="Arial"/>
                <w:bCs/>
                <w:color w:val="000000"/>
                <w:lang w:val="en-US"/>
              </w:rPr>
              <w:t>Beteiligung</w:t>
            </w:r>
            <w:proofErr w:type="spellEnd"/>
            <w:r w:rsidRPr="00CD51C8">
              <w:rPr>
                <w:rFonts w:ascii="Arial" w:hAnsi="Arial" w:cs="Arial"/>
                <w:bCs/>
                <w:color w:val="000000"/>
                <w:lang w:val="en-US"/>
              </w:rPr>
              <w:t xml:space="preserve"> S.A.</w:t>
            </w:r>
            <w:r w:rsidRPr="00CD51C8">
              <w:rPr>
                <w:rFonts w:ascii="Arial" w:hAnsi="Arial" w:cs="Arial"/>
                <w:bCs/>
                <w:color w:val="000000"/>
                <w:lang w:val="en-US"/>
              </w:rPr>
              <w:t>与乌克兰矿业和金属贸易集团新设合营企业案</w:t>
            </w:r>
          </w:p>
        </w:tc>
      </w:tr>
      <w:tr w:rsidR="00AB1591" w14:paraId="7EA7C63F" w14:textId="77777777" w:rsidTr="00165C83">
        <w:trPr>
          <w:trHeight w:val="2681"/>
          <w:jc w:val="center"/>
        </w:trPr>
        <w:tc>
          <w:tcPr>
            <w:tcW w:w="2061" w:type="dxa"/>
            <w:shd w:val="clear" w:color="auto" w:fill="D9D9D9"/>
            <w:vAlign w:val="center"/>
          </w:tcPr>
          <w:p w14:paraId="229AFDF4" w14:textId="77777777" w:rsidR="00AB1591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  <w:r>
              <w:rPr>
                <w:rFonts w:ascii="SimSun" w:hAnsi="SimSun" w:cs="SimSun" w:hint="eastAsia"/>
                <w:bCs/>
                <w:color w:val="000000"/>
                <w:lang w:eastAsia="zh-CN"/>
              </w:rPr>
              <w:t>交易概况（限200字内）</w:t>
            </w:r>
          </w:p>
        </w:tc>
        <w:tc>
          <w:tcPr>
            <w:tcW w:w="7579" w:type="dxa"/>
            <w:gridSpan w:val="2"/>
            <w:vAlign w:val="center"/>
          </w:tcPr>
          <w:p w14:paraId="60C3C7BA" w14:textId="732DC3AD" w:rsidR="00AB1591" w:rsidRDefault="00CD51C8" w:rsidP="00C546D3">
            <w:pPr>
              <w:widowControl w:val="0"/>
              <w:spacing w:after="60"/>
              <w:rPr>
                <w:rFonts w:ascii="Arial" w:hAnsi="Arial" w:cs="Arial"/>
                <w:bCs/>
                <w:color w:val="000000"/>
              </w:rPr>
            </w:pPr>
            <w:r w:rsidRPr="00CD51C8">
              <w:rPr>
                <w:rFonts w:ascii="Arial" w:hAnsi="Arial" w:cs="Arial"/>
                <w:bCs/>
                <w:color w:val="000000"/>
              </w:rPr>
              <w:t xml:space="preserve">Industrielle </w:t>
            </w:r>
            <w:proofErr w:type="spellStart"/>
            <w:r w:rsidRPr="00CD51C8">
              <w:rPr>
                <w:rFonts w:ascii="Arial" w:hAnsi="Arial" w:cs="Arial"/>
                <w:bCs/>
                <w:color w:val="000000"/>
              </w:rPr>
              <w:t>Beteiligung</w:t>
            </w:r>
            <w:proofErr w:type="spellEnd"/>
            <w:r w:rsidRPr="00CD51C8">
              <w:rPr>
                <w:rFonts w:ascii="Arial" w:hAnsi="Arial" w:cs="Arial"/>
                <w:bCs/>
                <w:color w:val="000000"/>
              </w:rPr>
              <w:t xml:space="preserve"> S.A.</w:t>
            </w:r>
            <w:r>
              <w:rPr>
                <w:rFonts w:ascii="Arial" w:hAnsi="Arial" w:cs="Arial" w:hint="eastAsia"/>
                <w:bCs/>
                <w:color w:val="000000"/>
              </w:rPr>
              <w:t>（“</w:t>
            </w:r>
            <w:r w:rsidRPr="00CD51C8">
              <w:rPr>
                <w:rFonts w:ascii="Arial" w:hAnsi="Arial" w:cs="Arial" w:hint="eastAsia"/>
                <w:b/>
                <w:color w:val="000000"/>
              </w:rPr>
              <w:t>IB</w:t>
            </w:r>
            <w:r>
              <w:rPr>
                <w:rFonts w:ascii="Arial" w:hAnsi="Arial" w:cs="Arial" w:hint="eastAsia"/>
                <w:bCs/>
                <w:color w:val="000000"/>
              </w:rPr>
              <w:t>”）、</w:t>
            </w:r>
            <w:r w:rsidR="00351DBB" w:rsidRPr="00CD51C8">
              <w:rPr>
                <w:rFonts w:ascii="Arial" w:hAnsi="Arial" w:cs="Arial"/>
                <w:bCs/>
                <w:color w:val="000000"/>
                <w:lang w:val="en-US"/>
              </w:rPr>
              <w:t>乌克兰矿业和金属贸易集团</w:t>
            </w:r>
            <w:r>
              <w:rPr>
                <w:rFonts w:ascii="Arial" w:hAnsi="Arial" w:cs="Arial" w:hint="eastAsia"/>
                <w:bCs/>
                <w:color w:val="000000"/>
              </w:rPr>
              <w:t>（</w:t>
            </w:r>
            <w:r w:rsidR="00351DBB" w:rsidRPr="00351DBB">
              <w:rPr>
                <w:rFonts w:ascii="Arial" w:hAnsi="Arial" w:cs="Arial" w:hint="eastAsia"/>
                <w:bCs/>
                <w:color w:val="000000"/>
              </w:rPr>
              <w:t>Metinvest B.V.</w:t>
            </w:r>
            <w:r w:rsidR="00351DBB" w:rsidRPr="00351DBB">
              <w:rPr>
                <w:rFonts w:ascii="Arial" w:hAnsi="Arial" w:cs="Arial" w:hint="eastAsia"/>
                <w:bCs/>
                <w:color w:val="000000"/>
              </w:rPr>
              <w:t>，“</w:t>
            </w:r>
            <w:r w:rsidR="00351DBB" w:rsidRPr="00351DBB">
              <w:rPr>
                <w:rFonts w:ascii="Arial" w:hAnsi="Arial" w:cs="Arial" w:hint="eastAsia"/>
                <w:b/>
                <w:color w:val="000000"/>
              </w:rPr>
              <w:t>Metinvest</w:t>
            </w:r>
            <w:r w:rsidR="00351DBB" w:rsidRPr="00351DBB">
              <w:rPr>
                <w:rFonts w:ascii="Arial" w:hAnsi="Arial" w:cs="Arial" w:hint="eastAsia"/>
                <w:bCs/>
                <w:color w:val="000000"/>
              </w:rPr>
              <w:t>”</w:t>
            </w:r>
            <w:r>
              <w:rPr>
                <w:rFonts w:ascii="Arial" w:hAnsi="Arial" w:cs="Arial" w:hint="eastAsia"/>
                <w:bCs/>
                <w:color w:val="000000"/>
              </w:rPr>
              <w:t>）</w:t>
            </w:r>
            <w:r w:rsidR="00351DBB">
              <w:rPr>
                <w:rFonts w:ascii="Arial" w:hAnsi="Arial" w:cs="Arial" w:hint="eastAsia"/>
                <w:bCs/>
                <w:color w:val="000000"/>
              </w:rPr>
              <w:t>以及</w:t>
            </w:r>
            <w:r w:rsidR="00351DBB" w:rsidRPr="00351DBB">
              <w:rPr>
                <w:rFonts w:ascii="Arial" w:hAnsi="Arial" w:cs="Arial"/>
                <w:bCs/>
                <w:color w:val="000000"/>
              </w:rPr>
              <w:t>Metinvest Adria S.p.A.</w:t>
            </w:r>
            <w:r w:rsidR="00351DBB">
              <w:rPr>
                <w:rFonts w:ascii="Arial" w:hAnsi="Arial" w:cs="Arial" w:hint="eastAsia"/>
                <w:bCs/>
                <w:color w:val="000000"/>
              </w:rPr>
              <w:t>（“</w:t>
            </w:r>
            <w:r w:rsidR="00351DBB" w:rsidRPr="00351DBB">
              <w:rPr>
                <w:rFonts w:ascii="Arial" w:hAnsi="Arial" w:cs="Arial" w:hint="eastAsia"/>
                <w:b/>
                <w:color w:val="000000"/>
              </w:rPr>
              <w:t>合营企业</w:t>
            </w:r>
            <w:r w:rsidR="00351DBB">
              <w:rPr>
                <w:rFonts w:ascii="Arial" w:hAnsi="Arial" w:cs="Arial" w:hint="eastAsia"/>
                <w:bCs/>
                <w:color w:val="000000"/>
              </w:rPr>
              <w:t>”）</w:t>
            </w:r>
            <w:r w:rsidR="003B1232">
              <w:rPr>
                <w:rFonts w:ascii="Arial" w:hAnsi="Arial" w:cs="Arial" w:hint="eastAsia"/>
                <w:bCs/>
                <w:color w:val="000000"/>
              </w:rPr>
              <w:t>签署</w:t>
            </w:r>
            <w:r w:rsidR="00351DBB">
              <w:rPr>
                <w:rFonts w:ascii="Arial" w:hAnsi="Arial" w:cs="Arial" w:hint="eastAsia"/>
                <w:bCs/>
                <w:color w:val="000000"/>
              </w:rPr>
              <w:t>协议，</w:t>
            </w:r>
            <w:r w:rsidR="009D7862">
              <w:rPr>
                <w:rFonts w:ascii="Arial" w:hAnsi="Arial" w:cs="Arial" w:hint="eastAsia"/>
                <w:bCs/>
                <w:color w:val="000000"/>
              </w:rPr>
              <w:t>IB</w:t>
            </w:r>
            <w:r w:rsidR="009D7862">
              <w:rPr>
                <w:rFonts w:ascii="Arial" w:hAnsi="Arial" w:cs="Arial" w:hint="eastAsia"/>
                <w:bCs/>
                <w:color w:val="000000"/>
              </w:rPr>
              <w:t>将取得合营企业</w:t>
            </w:r>
            <w:r w:rsidR="009D7862">
              <w:rPr>
                <w:rFonts w:ascii="Arial" w:hAnsi="Arial" w:cs="Arial" w:hint="eastAsia"/>
                <w:bCs/>
                <w:color w:val="000000"/>
              </w:rPr>
              <w:t>25%</w:t>
            </w:r>
            <w:r w:rsidR="009D7862">
              <w:rPr>
                <w:rFonts w:ascii="Arial" w:hAnsi="Arial" w:cs="Arial" w:hint="eastAsia"/>
                <w:bCs/>
                <w:color w:val="000000"/>
              </w:rPr>
              <w:t>的股权和</w:t>
            </w:r>
            <w:r w:rsidR="009D7862">
              <w:rPr>
                <w:rFonts w:ascii="Arial" w:hAnsi="Arial" w:cs="Arial" w:hint="eastAsia"/>
                <w:bCs/>
                <w:color w:val="000000"/>
              </w:rPr>
              <w:t>50%</w:t>
            </w:r>
            <w:r w:rsidR="009D7862">
              <w:rPr>
                <w:rFonts w:ascii="Arial" w:hAnsi="Arial" w:cs="Arial" w:hint="eastAsia"/>
                <w:bCs/>
                <w:color w:val="000000"/>
              </w:rPr>
              <w:t>的投票权。</w:t>
            </w:r>
            <w:r w:rsidR="00C546D3">
              <w:rPr>
                <w:rFonts w:ascii="Arial" w:hAnsi="Arial" w:cs="Arial" w:hint="eastAsia"/>
                <w:bCs/>
                <w:color w:val="000000"/>
              </w:rPr>
              <w:t>合营企业</w:t>
            </w:r>
            <w:r w:rsidR="007675F6">
              <w:rPr>
                <w:rFonts w:ascii="Arial" w:hAnsi="Arial" w:cs="Arial" w:hint="eastAsia"/>
                <w:bCs/>
                <w:color w:val="000000"/>
              </w:rPr>
              <w:t>尚未运营，</w:t>
            </w:r>
            <w:r w:rsidR="0026623A">
              <w:rPr>
                <w:rFonts w:ascii="Arial" w:hAnsi="Arial" w:cs="Arial" w:hint="eastAsia"/>
                <w:bCs/>
                <w:color w:val="000000"/>
              </w:rPr>
              <w:t>未来</w:t>
            </w:r>
            <w:r w:rsidR="00844F14">
              <w:rPr>
                <w:rFonts w:ascii="Arial" w:hAnsi="Arial" w:cs="Arial" w:hint="eastAsia"/>
                <w:bCs/>
                <w:color w:val="000000"/>
              </w:rPr>
              <w:t>的</w:t>
            </w:r>
            <w:r w:rsidR="007675F6">
              <w:rPr>
                <w:rFonts w:ascii="Arial" w:hAnsi="Arial" w:cs="Arial" w:hint="eastAsia"/>
                <w:bCs/>
                <w:color w:val="000000"/>
              </w:rPr>
              <w:t>主要</w:t>
            </w:r>
            <w:r w:rsidR="00844F14">
              <w:rPr>
                <w:rFonts w:ascii="Arial" w:hAnsi="Arial" w:cs="Arial" w:hint="eastAsia"/>
                <w:bCs/>
                <w:color w:val="000000"/>
              </w:rPr>
              <w:t>业务</w:t>
            </w:r>
            <w:r w:rsidR="0026623A">
              <w:rPr>
                <w:rFonts w:ascii="Arial" w:hAnsi="Arial" w:cs="Arial" w:hint="eastAsia"/>
                <w:bCs/>
                <w:color w:val="000000"/>
              </w:rPr>
              <w:t>为</w:t>
            </w:r>
            <w:r w:rsidR="00C546D3" w:rsidRPr="00C546D3">
              <w:rPr>
                <w:rFonts w:ascii="Arial" w:hAnsi="Arial" w:cs="Arial" w:hint="eastAsia"/>
                <w:bCs/>
                <w:color w:val="000000"/>
              </w:rPr>
              <w:t>在意大利</w:t>
            </w:r>
            <w:r w:rsidR="006A79C4">
              <w:rPr>
                <w:rFonts w:ascii="Arial" w:hAnsi="Arial" w:cs="Arial" w:hint="eastAsia"/>
                <w:bCs/>
                <w:color w:val="000000"/>
              </w:rPr>
              <w:t>境内</w:t>
            </w:r>
            <w:r w:rsidR="00C546D3" w:rsidRPr="00C546D3">
              <w:rPr>
                <w:rFonts w:ascii="Arial" w:hAnsi="Arial" w:cs="Arial" w:hint="eastAsia"/>
                <w:bCs/>
                <w:color w:val="000000"/>
              </w:rPr>
              <w:t>生产热轧碳钢</w:t>
            </w:r>
            <w:r w:rsidR="007675F6">
              <w:rPr>
                <w:rFonts w:ascii="Arial" w:hAnsi="Arial" w:cs="Arial" w:hint="eastAsia"/>
                <w:bCs/>
                <w:color w:val="000000"/>
              </w:rPr>
              <w:t>板</w:t>
            </w:r>
            <w:r w:rsidR="00C546D3" w:rsidRPr="00C546D3">
              <w:rPr>
                <w:rFonts w:ascii="Arial" w:hAnsi="Arial" w:cs="Arial" w:hint="eastAsia"/>
                <w:bCs/>
                <w:color w:val="000000"/>
              </w:rPr>
              <w:t>产品。</w:t>
            </w:r>
          </w:p>
          <w:p w14:paraId="2F377C49" w14:textId="42946C83" w:rsidR="00C546D3" w:rsidRPr="00CD51C8" w:rsidRDefault="00C546D3" w:rsidP="00C546D3">
            <w:pPr>
              <w:widowControl w:val="0"/>
              <w:spacing w:after="6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 w:hint="eastAsia"/>
                <w:bCs/>
                <w:color w:val="000000"/>
              </w:rPr>
              <w:t>交易前，</w:t>
            </w:r>
            <w:r>
              <w:rPr>
                <w:rFonts w:ascii="Arial" w:hAnsi="Arial" w:cs="Arial" w:hint="eastAsia"/>
                <w:bCs/>
                <w:color w:val="000000"/>
              </w:rPr>
              <w:t>Metinvest</w:t>
            </w:r>
            <w:r>
              <w:rPr>
                <w:rFonts w:ascii="Arial" w:hAnsi="Arial" w:cs="Arial" w:hint="eastAsia"/>
                <w:bCs/>
                <w:color w:val="000000"/>
              </w:rPr>
              <w:t>全资持有合营企业</w:t>
            </w:r>
            <w:r w:rsidR="00794408">
              <w:rPr>
                <w:rFonts w:ascii="Arial" w:hAnsi="Arial" w:cs="Arial" w:hint="eastAsia"/>
                <w:bCs/>
                <w:color w:val="000000"/>
              </w:rPr>
              <w:t>，并单独控制合营企业</w:t>
            </w:r>
            <w:r>
              <w:rPr>
                <w:rFonts w:ascii="Arial" w:hAnsi="Arial" w:cs="Arial" w:hint="eastAsia"/>
                <w:bCs/>
                <w:color w:val="000000"/>
              </w:rPr>
              <w:t>。交易后，</w:t>
            </w:r>
            <w:r>
              <w:rPr>
                <w:rFonts w:ascii="Arial" w:hAnsi="Arial" w:cs="Arial" w:hint="eastAsia"/>
                <w:bCs/>
                <w:color w:val="000000"/>
              </w:rPr>
              <w:t>IB</w:t>
            </w:r>
            <w:r>
              <w:rPr>
                <w:rFonts w:ascii="Arial" w:hAnsi="Arial" w:cs="Arial" w:hint="eastAsia"/>
                <w:bCs/>
                <w:color w:val="000000"/>
              </w:rPr>
              <w:t>将持有合营企业</w:t>
            </w:r>
            <w:r>
              <w:rPr>
                <w:rFonts w:ascii="Arial" w:hAnsi="Arial" w:cs="Arial" w:hint="eastAsia"/>
                <w:bCs/>
                <w:color w:val="000000"/>
              </w:rPr>
              <w:t>25%</w:t>
            </w:r>
            <w:r>
              <w:rPr>
                <w:rFonts w:ascii="Arial" w:hAnsi="Arial" w:cs="Arial" w:hint="eastAsia"/>
                <w:bCs/>
                <w:color w:val="000000"/>
              </w:rPr>
              <w:t>的股权和</w:t>
            </w:r>
            <w:r>
              <w:rPr>
                <w:rFonts w:ascii="Arial" w:hAnsi="Arial" w:cs="Arial" w:hint="eastAsia"/>
                <w:bCs/>
                <w:color w:val="000000"/>
              </w:rPr>
              <w:t>50%</w:t>
            </w:r>
            <w:r>
              <w:rPr>
                <w:rFonts w:ascii="Arial" w:hAnsi="Arial" w:cs="Arial" w:hint="eastAsia"/>
                <w:bCs/>
                <w:color w:val="000000"/>
              </w:rPr>
              <w:t>的投票权</w:t>
            </w:r>
            <w:r w:rsidR="00AA068C">
              <w:rPr>
                <w:rFonts w:ascii="Arial" w:hAnsi="Arial" w:cs="Arial" w:hint="eastAsia"/>
                <w:bCs/>
                <w:color w:val="000000"/>
              </w:rPr>
              <w:t>，</w:t>
            </w:r>
            <w:r w:rsidR="00C40D54">
              <w:rPr>
                <w:rFonts w:ascii="Arial" w:hAnsi="Arial" w:cs="Arial" w:hint="eastAsia"/>
                <w:bCs/>
                <w:color w:val="000000"/>
              </w:rPr>
              <w:t>Metinvest</w:t>
            </w:r>
            <w:r w:rsidR="00C40D54">
              <w:rPr>
                <w:rFonts w:ascii="Arial" w:hAnsi="Arial" w:cs="Arial" w:hint="eastAsia"/>
                <w:bCs/>
                <w:color w:val="000000"/>
              </w:rPr>
              <w:t>和</w:t>
            </w:r>
            <w:r>
              <w:rPr>
                <w:rFonts w:ascii="Arial" w:hAnsi="Arial" w:cs="Arial" w:hint="eastAsia"/>
                <w:bCs/>
                <w:color w:val="000000"/>
              </w:rPr>
              <w:t>IB</w:t>
            </w:r>
            <w:r>
              <w:rPr>
                <w:rFonts w:ascii="Arial" w:hAnsi="Arial" w:cs="Arial" w:hint="eastAsia"/>
                <w:bCs/>
                <w:color w:val="000000"/>
              </w:rPr>
              <w:t>将共同控制合营企业。</w:t>
            </w:r>
          </w:p>
        </w:tc>
      </w:tr>
      <w:tr w:rsidR="00AB1591" w14:paraId="31172F65" w14:textId="77777777" w:rsidTr="00165C83">
        <w:trPr>
          <w:trHeight w:val="1763"/>
          <w:jc w:val="center"/>
        </w:trPr>
        <w:tc>
          <w:tcPr>
            <w:tcW w:w="2061" w:type="dxa"/>
            <w:vMerge w:val="restart"/>
            <w:shd w:val="clear" w:color="auto" w:fill="D9D9D9"/>
            <w:vAlign w:val="center"/>
          </w:tcPr>
          <w:p w14:paraId="056D54E7" w14:textId="77777777" w:rsidR="00AB1591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  <w:r>
              <w:rPr>
                <w:rFonts w:ascii="SimSun" w:hAnsi="SimSun" w:cs="SimSun" w:hint="eastAsia"/>
                <w:bCs/>
                <w:color w:val="000000"/>
                <w:lang w:eastAsia="zh-CN"/>
              </w:rPr>
              <w:t>参与集中的经营者简介（每个限</w:t>
            </w:r>
            <w:r>
              <w:rPr>
                <w:rFonts w:ascii="SimSun" w:hAnsi="SimSun" w:cs="SimSun" w:hint="eastAsia"/>
                <w:bCs/>
                <w:color w:val="000000"/>
                <w:lang w:val="en-US" w:eastAsia="zh-CN"/>
              </w:rPr>
              <w:t>100字以内</w:t>
            </w:r>
            <w:r>
              <w:rPr>
                <w:rFonts w:ascii="SimSun" w:hAnsi="SimSun" w:cs="SimSun" w:hint="eastAsia"/>
                <w:bCs/>
                <w:color w:val="000000"/>
                <w:lang w:eastAsia="zh-CN"/>
              </w:rPr>
              <w:t>）</w:t>
            </w:r>
          </w:p>
        </w:tc>
        <w:tc>
          <w:tcPr>
            <w:tcW w:w="1478" w:type="dxa"/>
            <w:vAlign w:val="center"/>
          </w:tcPr>
          <w:p w14:paraId="4E5ED8B1" w14:textId="66CEF537" w:rsidR="00AB1591" w:rsidRPr="00C546D3" w:rsidRDefault="00AB1591" w:rsidP="00C546D3">
            <w:pPr>
              <w:pStyle w:val="BodyText"/>
              <w:spacing w:after="60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C546D3">
              <w:rPr>
                <w:rFonts w:ascii="Arial" w:hAnsi="Arial" w:cs="Arial"/>
                <w:bCs/>
                <w:color w:val="000000"/>
                <w:lang w:val="en-US" w:eastAsia="zh-CN"/>
              </w:rPr>
              <w:t>1.</w:t>
            </w:r>
            <w:r w:rsidR="00C546D3" w:rsidRPr="00C546D3">
              <w:rPr>
                <w:rFonts w:ascii="Arial" w:hAnsi="Arial" w:cs="Arial"/>
                <w:bCs/>
                <w:color w:val="000000"/>
                <w:lang w:val="en-US" w:eastAsia="zh-CN"/>
              </w:rPr>
              <w:t>IB</w:t>
            </w:r>
          </w:p>
        </w:tc>
        <w:tc>
          <w:tcPr>
            <w:tcW w:w="6101" w:type="dxa"/>
            <w:vAlign w:val="center"/>
          </w:tcPr>
          <w:p w14:paraId="02DD4D4E" w14:textId="4E5009CD" w:rsidR="00AB1591" w:rsidRDefault="00C546D3" w:rsidP="00C546D3">
            <w:pPr>
              <w:widowControl w:val="0"/>
              <w:spacing w:after="6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 w:hint="eastAsia"/>
                <w:bCs/>
                <w:color w:val="000000"/>
              </w:rPr>
              <w:t>IB</w:t>
            </w:r>
            <w:r w:rsidR="002F0E0C">
              <w:rPr>
                <w:rFonts w:ascii="Arial" w:hAnsi="Arial" w:cs="Arial" w:hint="eastAsia"/>
                <w:bCs/>
                <w:color w:val="000000"/>
              </w:rPr>
              <w:t>于</w:t>
            </w:r>
            <w:r w:rsidR="002F0E0C">
              <w:rPr>
                <w:rFonts w:ascii="Arial" w:hAnsi="Arial" w:cs="Arial" w:hint="eastAsia"/>
                <w:bCs/>
                <w:color w:val="000000"/>
              </w:rPr>
              <w:t>1993</w:t>
            </w:r>
            <w:r w:rsidR="002F0E0C">
              <w:rPr>
                <w:rFonts w:ascii="Arial" w:hAnsi="Arial" w:cs="Arial" w:hint="eastAsia"/>
                <w:bCs/>
                <w:color w:val="000000"/>
              </w:rPr>
              <w:t>年</w:t>
            </w:r>
            <w:r w:rsidR="002F0E0C">
              <w:rPr>
                <w:rFonts w:ascii="Arial" w:hAnsi="Arial" w:cs="Arial" w:hint="eastAsia"/>
                <w:bCs/>
                <w:color w:val="000000"/>
              </w:rPr>
              <w:t>4</w:t>
            </w:r>
            <w:r w:rsidR="002F0E0C">
              <w:rPr>
                <w:rFonts w:ascii="Arial" w:hAnsi="Arial" w:cs="Arial" w:hint="eastAsia"/>
                <w:bCs/>
                <w:color w:val="000000"/>
              </w:rPr>
              <w:t>月</w:t>
            </w:r>
            <w:r w:rsidR="002F0E0C">
              <w:rPr>
                <w:rFonts w:ascii="Arial" w:hAnsi="Arial" w:cs="Arial" w:hint="eastAsia"/>
                <w:bCs/>
                <w:color w:val="000000"/>
              </w:rPr>
              <w:t>28</w:t>
            </w:r>
            <w:r w:rsidR="002F0E0C">
              <w:rPr>
                <w:rFonts w:ascii="Arial" w:hAnsi="Arial" w:cs="Arial" w:hint="eastAsia"/>
                <w:bCs/>
                <w:color w:val="000000"/>
              </w:rPr>
              <w:t>日成立于</w:t>
            </w:r>
            <w:r>
              <w:rPr>
                <w:rFonts w:ascii="Arial" w:hAnsi="Arial" w:cs="Arial" w:hint="eastAsia"/>
                <w:bCs/>
                <w:color w:val="000000"/>
              </w:rPr>
              <w:t>卢森堡，隶属于</w:t>
            </w:r>
            <w:r w:rsidR="00872533" w:rsidRPr="007B738C">
              <w:rPr>
                <w:rFonts w:ascii="Arial" w:hAnsi="Arial" w:cs="Arial" w:hint="eastAsia"/>
                <w:bCs/>
                <w:color w:val="000000"/>
              </w:rPr>
              <w:t>达涅利集团</w:t>
            </w:r>
            <w:r w:rsidR="00872533">
              <w:rPr>
                <w:rFonts w:ascii="Arial" w:hAnsi="Arial" w:cs="Arial" w:hint="eastAsia"/>
                <w:bCs/>
                <w:color w:val="000000"/>
              </w:rPr>
              <w:t>。</w:t>
            </w:r>
            <w:r w:rsidR="00872533" w:rsidRPr="00872533">
              <w:rPr>
                <w:rFonts w:ascii="Arial" w:hAnsi="Arial" w:cs="Arial" w:hint="eastAsia"/>
                <w:bCs/>
                <w:color w:val="000000"/>
              </w:rPr>
              <w:t>达涅利集团</w:t>
            </w:r>
            <w:r w:rsidR="004A5F76">
              <w:rPr>
                <w:rFonts w:ascii="Arial" w:hAnsi="Arial" w:cs="Arial" w:hint="eastAsia"/>
                <w:bCs/>
                <w:color w:val="000000"/>
              </w:rPr>
              <w:t>主要业务为</w:t>
            </w:r>
            <w:r w:rsidR="00AB7EC3">
              <w:rPr>
                <w:rFonts w:ascii="Arial" w:hAnsi="Arial" w:cs="Arial" w:hint="eastAsia"/>
                <w:bCs/>
                <w:color w:val="000000"/>
              </w:rPr>
              <w:t>炼钢</w:t>
            </w:r>
            <w:r w:rsidR="00872533" w:rsidRPr="00872533">
              <w:rPr>
                <w:rFonts w:ascii="Arial" w:hAnsi="Arial" w:cs="Arial" w:hint="eastAsia"/>
                <w:bCs/>
                <w:color w:val="000000"/>
              </w:rPr>
              <w:t>机械、技术和服务</w:t>
            </w:r>
            <w:r w:rsidR="00AB7EC3">
              <w:rPr>
                <w:rFonts w:ascii="Arial" w:hAnsi="Arial" w:cs="Arial" w:hint="eastAsia"/>
                <w:bCs/>
                <w:color w:val="000000"/>
              </w:rPr>
              <w:t>，</w:t>
            </w:r>
            <w:r w:rsidR="00EE6B49">
              <w:rPr>
                <w:rFonts w:ascii="Arial" w:hAnsi="Arial" w:cs="Arial" w:hint="eastAsia"/>
                <w:bCs/>
                <w:color w:val="000000"/>
              </w:rPr>
              <w:t>以及</w:t>
            </w:r>
            <w:r w:rsidR="00872533" w:rsidRPr="00872533">
              <w:rPr>
                <w:rFonts w:ascii="Arial" w:hAnsi="Arial" w:cs="Arial" w:hint="eastAsia"/>
                <w:bCs/>
                <w:color w:val="000000"/>
              </w:rPr>
              <w:t>钢产品的生产。</w:t>
            </w:r>
          </w:p>
          <w:p w14:paraId="3E612D64" w14:textId="5F15ABE0" w:rsidR="00872533" w:rsidRPr="00C546D3" w:rsidRDefault="00872533" w:rsidP="00C546D3">
            <w:pPr>
              <w:widowControl w:val="0"/>
              <w:spacing w:after="6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 w:hint="eastAsia"/>
                <w:bCs/>
                <w:color w:val="000000"/>
              </w:rPr>
              <w:t>IB</w:t>
            </w:r>
            <w:r>
              <w:rPr>
                <w:rFonts w:ascii="Arial" w:hAnsi="Arial" w:cs="Arial" w:hint="eastAsia"/>
                <w:bCs/>
                <w:color w:val="000000"/>
              </w:rPr>
              <w:t>的最终控制人为自然人</w:t>
            </w:r>
            <w:r w:rsidR="009F0D17">
              <w:rPr>
                <w:rFonts w:ascii="Arial" w:hAnsi="Arial" w:cs="Arial" w:hint="eastAsia"/>
                <w:bCs/>
                <w:color w:val="000000"/>
              </w:rPr>
              <w:t>，</w:t>
            </w:r>
            <w:r w:rsidR="0096490A">
              <w:rPr>
                <w:rFonts w:ascii="Arial" w:hAnsi="Arial" w:cs="Arial" w:hint="eastAsia"/>
                <w:bCs/>
                <w:color w:val="000000"/>
              </w:rPr>
              <w:t>除</w:t>
            </w:r>
            <w:r w:rsidR="0096490A" w:rsidRPr="00872533">
              <w:rPr>
                <w:rFonts w:ascii="Arial" w:hAnsi="Arial" w:cs="Arial" w:hint="eastAsia"/>
                <w:bCs/>
                <w:color w:val="000000"/>
              </w:rPr>
              <w:t>达涅利集团</w:t>
            </w:r>
            <w:r w:rsidR="0096490A">
              <w:rPr>
                <w:rFonts w:ascii="Arial" w:hAnsi="Arial" w:cs="Arial" w:hint="eastAsia"/>
                <w:bCs/>
                <w:color w:val="000000"/>
              </w:rPr>
              <w:t>外，</w:t>
            </w:r>
            <w:r w:rsidR="009F0D17">
              <w:rPr>
                <w:rFonts w:ascii="Arial" w:hAnsi="Arial" w:cs="Arial" w:hint="eastAsia"/>
                <w:bCs/>
                <w:color w:val="000000"/>
              </w:rPr>
              <w:t>该</w:t>
            </w:r>
            <w:r w:rsidR="00DA7307">
              <w:rPr>
                <w:rFonts w:ascii="Arial" w:hAnsi="Arial" w:cs="Arial" w:hint="eastAsia"/>
                <w:bCs/>
                <w:color w:val="000000"/>
              </w:rPr>
              <w:t>等</w:t>
            </w:r>
            <w:r w:rsidR="009F0D17">
              <w:rPr>
                <w:rFonts w:ascii="Arial" w:hAnsi="Arial" w:cs="Arial" w:hint="eastAsia"/>
                <w:bCs/>
                <w:color w:val="000000"/>
              </w:rPr>
              <w:t>自然人不控制其他业务。</w:t>
            </w:r>
          </w:p>
        </w:tc>
      </w:tr>
      <w:tr w:rsidR="00AB1591" w14:paraId="03FED3EA" w14:textId="77777777" w:rsidTr="00165C83">
        <w:trPr>
          <w:trHeight w:val="2132"/>
          <w:jc w:val="center"/>
        </w:trPr>
        <w:tc>
          <w:tcPr>
            <w:tcW w:w="2061" w:type="dxa"/>
            <w:vMerge/>
            <w:shd w:val="clear" w:color="auto" w:fill="D9D9D9"/>
            <w:vAlign w:val="center"/>
          </w:tcPr>
          <w:p w14:paraId="6181F5E7" w14:textId="77777777" w:rsidR="00AB1591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</w:p>
        </w:tc>
        <w:tc>
          <w:tcPr>
            <w:tcW w:w="1478" w:type="dxa"/>
            <w:vAlign w:val="center"/>
          </w:tcPr>
          <w:p w14:paraId="51C3924F" w14:textId="404A209C" w:rsidR="00AB1591" w:rsidRPr="00C546D3" w:rsidRDefault="00AB1591" w:rsidP="00C546D3">
            <w:pPr>
              <w:pStyle w:val="BodyText"/>
              <w:spacing w:after="60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C546D3">
              <w:rPr>
                <w:rFonts w:ascii="Arial" w:hAnsi="Arial" w:cs="Arial"/>
                <w:bCs/>
                <w:color w:val="000000"/>
                <w:lang w:val="en-US" w:eastAsia="zh-CN"/>
              </w:rPr>
              <w:t>2.</w:t>
            </w:r>
            <w:r w:rsidR="00C546D3">
              <w:rPr>
                <w:rFonts w:ascii="Arial" w:hAnsi="Arial" w:cs="Arial" w:hint="eastAsia"/>
                <w:bCs/>
                <w:color w:val="000000"/>
                <w:lang w:val="en-US" w:eastAsia="zh-CN"/>
              </w:rPr>
              <w:t>Metinvest</w:t>
            </w:r>
          </w:p>
        </w:tc>
        <w:tc>
          <w:tcPr>
            <w:tcW w:w="6101" w:type="dxa"/>
            <w:vAlign w:val="center"/>
          </w:tcPr>
          <w:p w14:paraId="4B0A0022" w14:textId="45B5CAA8" w:rsidR="00AB1591" w:rsidRDefault="00872533" w:rsidP="00C546D3">
            <w:pPr>
              <w:spacing w:after="60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 w:hint="eastAsia"/>
                <w:bCs/>
                <w:color w:val="000000"/>
                <w:lang w:val="en-US"/>
              </w:rPr>
              <w:t>Metinvest</w:t>
            </w:r>
            <w:r w:rsidR="00876448">
              <w:rPr>
                <w:rFonts w:ascii="Arial" w:hAnsi="Arial" w:cs="Arial" w:hint="eastAsia"/>
                <w:bCs/>
                <w:color w:val="000000"/>
                <w:lang w:val="en-US"/>
              </w:rPr>
              <w:t>于</w:t>
            </w:r>
            <w:r w:rsidR="00876448">
              <w:rPr>
                <w:rFonts w:ascii="Arial" w:hAnsi="Arial" w:cs="Arial" w:hint="eastAsia"/>
                <w:bCs/>
                <w:color w:val="000000"/>
                <w:lang w:val="en-US"/>
              </w:rPr>
              <w:t>2001</w:t>
            </w:r>
            <w:r w:rsidR="00876448">
              <w:rPr>
                <w:rFonts w:ascii="Arial" w:hAnsi="Arial" w:cs="Arial" w:hint="eastAsia"/>
                <w:bCs/>
                <w:color w:val="000000"/>
                <w:lang w:val="en-US"/>
              </w:rPr>
              <w:t>年</w:t>
            </w:r>
            <w:r w:rsidR="00876448">
              <w:rPr>
                <w:rFonts w:ascii="Arial" w:hAnsi="Arial" w:cs="Arial" w:hint="eastAsia"/>
                <w:bCs/>
                <w:color w:val="000000"/>
                <w:lang w:val="en-US"/>
              </w:rPr>
              <w:t>5</w:t>
            </w:r>
            <w:r w:rsidR="00876448">
              <w:rPr>
                <w:rFonts w:ascii="Arial" w:hAnsi="Arial" w:cs="Arial" w:hint="eastAsia"/>
                <w:bCs/>
                <w:color w:val="000000"/>
                <w:lang w:val="en-US"/>
              </w:rPr>
              <w:t>月</w:t>
            </w:r>
            <w:r w:rsidR="00876448">
              <w:rPr>
                <w:rFonts w:ascii="Arial" w:hAnsi="Arial" w:cs="Arial" w:hint="eastAsia"/>
                <w:bCs/>
                <w:color w:val="000000"/>
                <w:lang w:val="en-US"/>
              </w:rPr>
              <w:t>21</w:t>
            </w:r>
            <w:r w:rsidR="00876448">
              <w:rPr>
                <w:rFonts w:ascii="Arial" w:hAnsi="Arial" w:cs="Arial" w:hint="eastAsia"/>
                <w:bCs/>
                <w:color w:val="000000"/>
                <w:lang w:val="en-US"/>
              </w:rPr>
              <w:t>日</w:t>
            </w:r>
            <w:r>
              <w:rPr>
                <w:rFonts w:ascii="Arial" w:hAnsi="Arial" w:cs="Arial" w:hint="eastAsia"/>
                <w:bCs/>
                <w:color w:val="000000"/>
                <w:lang w:val="en-US"/>
              </w:rPr>
              <w:t>成立于荷兰</w:t>
            </w:r>
            <w:r w:rsidR="00C52EF9">
              <w:rPr>
                <w:rFonts w:ascii="Arial" w:hAnsi="Arial" w:cs="Arial" w:hint="eastAsia"/>
                <w:bCs/>
                <w:color w:val="000000"/>
                <w:lang w:val="en-US"/>
              </w:rPr>
              <w:t>，</w:t>
            </w:r>
            <w:r w:rsidR="007B733D">
              <w:rPr>
                <w:rFonts w:ascii="Arial" w:hAnsi="Arial" w:cs="Arial" w:hint="eastAsia"/>
                <w:bCs/>
                <w:color w:val="000000"/>
              </w:rPr>
              <w:t>主要业务为</w:t>
            </w:r>
            <w:r w:rsidR="0022298A">
              <w:rPr>
                <w:rFonts w:ascii="Arial" w:hAnsi="Arial" w:cs="Arial" w:hint="eastAsia"/>
                <w:bCs/>
                <w:color w:val="000000"/>
                <w:lang w:val="en-US"/>
              </w:rPr>
              <w:t>采矿冶金</w:t>
            </w:r>
            <w:r w:rsidR="008142AF" w:rsidRPr="008142AF">
              <w:rPr>
                <w:rFonts w:ascii="Arial" w:hAnsi="Arial" w:cs="Arial" w:hint="eastAsia"/>
                <w:bCs/>
                <w:color w:val="000000"/>
                <w:lang w:val="en-US"/>
              </w:rPr>
              <w:t>。</w:t>
            </w:r>
          </w:p>
          <w:p w14:paraId="29E2FC89" w14:textId="728A7627" w:rsidR="008142AF" w:rsidRPr="00C546D3" w:rsidRDefault="00E72CF3" w:rsidP="00C546D3">
            <w:pPr>
              <w:spacing w:after="60"/>
              <w:rPr>
                <w:rFonts w:ascii="Arial" w:hAnsi="Arial" w:cs="Arial"/>
                <w:bCs/>
                <w:color w:val="000000"/>
              </w:rPr>
            </w:pPr>
            <w:r w:rsidRPr="00E72CF3">
              <w:rPr>
                <w:rFonts w:ascii="Arial" w:hAnsi="Arial" w:cs="Arial" w:hint="eastAsia"/>
                <w:bCs/>
                <w:color w:val="000000"/>
                <w:lang w:val="en-US"/>
              </w:rPr>
              <w:t>Metinvest</w:t>
            </w:r>
            <w:r w:rsidRPr="00E72CF3">
              <w:rPr>
                <w:rFonts w:ascii="Arial" w:hAnsi="Arial" w:cs="Arial" w:hint="eastAsia"/>
                <w:bCs/>
                <w:color w:val="000000"/>
                <w:lang w:val="en-US"/>
              </w:rPr>
              <w:t>由</w:t>
            </w:r>
            <w:r w:rsidR="00A11D21">
              <w:rPr>
                <w:rFonts w:ascii="Arial" w:hAnsi="Arial" w:cs="Arial" w:hint="eastAsia"/>
                <w:bCs/>
                <w:color w:val="000000"/>
                <w:lang w:val="en-US"/>
              </w:rPr>
              <w:t>自然人和</w:t>
            </w:r>
            <w:r w:rsidR="00D616E2" w:rsidRPr="00F21651">
              <w:rPr>
                <w:rFonts w:ascii="Arial" w:hAnsi="Arial" w:cs="Arial"/>
              </w:rPr>
              <w:t>SMART</w:t>
            </w:r>
            <w:r w:rsidR="00D616E2" w:rsidRPr="00F21651">
              <w:rPr>
                <w:rFonts w:ascii="Arial" w:hAnsi="Arial" w:cs="Arial" w:hint="eastAsia"/>
              </w:rPr>
              <w:t>控股公司</w:t>
            </w:r>
            <w:r w:rsidR="00753648">
              <w:rPr>
                <w:rFonts w:ascii="Arial" w:hAnsi="Arial" w:cs="Arial" w:hint="eastAsia"/>
                <w:bCs/>
                <w:color w:val="000000"/>
                <w:lang w:val="en-US"/>
              </w:rPr>
              <w:t>最终</w:t>
            </w:r>
            <w:r w:rsidRPr="00E72CF3">
              <w:rPr>
                <w:rFonts w:ascii="Arial" w:hAnsi="Arial" w:cs="Arial" w:hint="eastAsia"/>
                <w:bCs/>
                <w:color w:val="000000"/>
                <w:lang w:val="en-US"/>
              </w:rPr>
              <w:t>共同控制。</w:t>
            </w:r>
            <w:r w:rsidR="00C52EF9">
              <w:rPr>
                <w:rFonts w:ascii="Arial" w:hAnsi="Arial" w:cs="Arial" w:hint="eastAsia"/>
                <w:bCs/>
                <w:color w:val="000000"/>
                <w:lang w:val="en-US"/>
              </w:rPr>
              <w:t>除</w:t>
            </w:r>
            <w:r w:rsidR="00C52EF9" w:rsidRPr="00E72CF3">
              <w:rPr>
                <w:rFonts w:ascii="Arial" w:hAnsi="Arial" w:cs="Arial" w:hint="eastAsia"/>
                <w:bCs/>
                <w:color w:val="000000"/>
                <w:lang w:val="en-US"/>
              </w:rPr>
              <w:t>Metinvest</w:t>
            </w:r>
            <w:r w:rsidR="00C52EF9">
              <w:rPr>
                <w:rFonts w:ascii="Arial" w:hAnsi="Arial" w:cs="Arial" w:hint="eastAsia"/>
                <w:bCs/>
                <w:color w:val="000000"/>
                <w:lang w:val="en-US"/>
              </w:rPr>
              <w:t>外，前者</w:t>
            </w:r>
            <w:r w:rsidR="00F374B2">
              <w:rPr>
                <w:rFonts w:ascii="Arial" w:hAnsi="Arial" w:cs="Arial" w:hint="eastAsia"/>
                <w:bCs/>
                <w:color w:val="000000"/>
                <w:lang w:val="en-US"/>
              </w:rPr>
              <w:t>主要业务为</w:t>
            </w:r>
            <w:r w:rsidR="00CA70FB">
              <w:rPr>
                <w:rFonts w:ascii="Arial" w:hAnsi="Arial" w:cs="Arial" w:hint="eastAsia"/>
                <w:bCs/>
                <w:color w:val="000000"/>
                <w:lang w:val="en-US"/>
              </w:rPr>
              <w:t>能源、银行、房地产和电信</w:t>
            </w:r>
            <w:r w:rsidR="00A5287F">
              <w:rPr>
                <w:rFonts w:ascii="Arial" w:hAnsi="Arial" w:cs="Arial" w:hint="eastAsia"/>
                <w:bCs/>
                <w:color w:val="000000"/>
                <w:lang w:val="en-US"/>
              </w:rPr>
              <w:t>（</w:t>
            </w:r>
            <w:r w:rsidR="003E1907">
              <w:rPr>
                <w:rFonts w:ascii="Arial" w:hAnsi="Arial" w:cs="Arial" w:hint="eastAsia"/>
                <w:bCs/>
                <w:color w:val="000000"/>
                <w:lang w:val="en-US"/>
              </w:rPr>
              <w:t>通过</w:t>
            </w:r>
            <w:r w:rsidR="003E1907">
              <w:rPr>
                <w:rFonts w:ascii="Arial" w:hAnsi="Arial" w:cs="Arial" w:hint="eastAsia"/>
                <w:bCs/>
                <w:color w:val="000000"/>
                <w:lang w:val="en-US"/>
              </w:rPr>
              <w:t>SCM</w:t>
            </w:r>
            <w:r w:rsidR="003E1907">
              <w:rPr>
                <w:rFonts w:ascii="Arial" w:hAnsi="Arial" w:cs="Arial" w:hint="eastAsia"/>
                <w:bCs/>
                <w:color w:val="000000"/>
                <w:lang w:val="en-US"/>
              </w:rPr>
              <w:t>集团</w:t>
            </w:r>
            <w:r w:rsidR="00A5287F">
              <w:rPr>
                <w:rFonts w:ascii="Arial" w:hAnsi="Arial" w:cs="Arial" w:hint="eastAsia"/>
                <w:bCs/>
                <w:color w:val="000000"/>
                <w:lang w:val="en-US"/>
              </w:rPr>
              <w:t>）</w:t>
            </w:r>
            <w:r w:rsidR="007914C6">
              <w:rPr>
                <w:rFonts w:ascii="Arial" w:hAnsi="Arial" w:cs="Arial" w:hint="eastAsia"/>
                <w:bCs/>
                <w:color w:val="000000"/>
                <w:lang w:val="en-US"/>
              </w:rPr>
              <w:t>；</w:t>
            </w:r>
            <w:r w:rsidR="00C52EF9">
              <w:rPr>
                <w:rFonts w:ascii="Arial" w:hAnsi="Arial" w:cs="Arial" w:hint="eastAsia"/>
                <w:bCs/>
                <w:color w:val="000000"/>
                <w:lang w:val="en-US"/>
              </w:rPr>
              <w:t>后者</w:t>
            </w:r>
            <w:r w:rsidR="002E143B">
              <w:rPr>
                <w:rFonts w:ascii="Arial" w:hAnsi="Arial" w:cs="Arial" w:hint="eastAsia"/>
                <w:bCs/>
                <w:color w:val="000000"/>
                <w:lang w:val="en-US"/>
              </w:rPr>
              <w:t>主要业务为</w:t>
            </w:r>
            <w:r w:rsidR="00E116AA">
              <w:rPr>
                <w:rFonts w:ascii="Arial" w:hAnsi="Arial" w:cs="Arial" w:hint="eastAsia"/>
                <w:bCs/>
                <w:color w:val="000000"/>
                <w:lang w:val="en-US"/>
              </w:rPr>
              <w:t>油气、造船、房地产和农业</w:t>
            </w:r>
            <w:r w:rsidR="00E84A18">
              <w:rPr>
                <w:rFonts w:ascii="Arial" w:hAnsi="Arial" w:cs="Arial" w:hint="eastAsia"/>
                <w:bCs/>
                <w:color w:val="000000"/>
                <w:lang w:val="en-US"/>
              </w:rPr>
              <w:t>（</w:t>
            </w:r>
            <w:r w:rsidR="00E116AA">
              <w:rPr>
                <w:rFonts w:ascii="Arial" w:hAnsi="Arial" w:cs="Arial" w:hint="eastAsia"/>
                <w:bCs/>
                <w:color w:val="000000"/>
                <w:lang w:val="en-US"/>
              </w:rPr>
              <w:t>通过</w:t>
            </w:r>
            <w:r w:rsidR="00E116AA">
              <w:rPr>
                <w:rFonts w:ascii="Arial" w:hAnsi="Arial" w:cs="Arial" w:hint="eastAsia"/>
                <w:bCs/>
                <w:color w:val="000000"/>
                <w:lang w:val="en-US"/>
              </w:rPr>
              <w:t>SMART</w:t>
            </w:r>
            <w:r w:rsidR="00E116AA">
              <w:rPr>
                <w:rFonts w:ascii="Arial" w:hAnsi="Arial" w:cs="Arial" w:hint="eastAsia"/>
                <w:bCs/>
                <w:color w:val="000000"/>
                <w:lang w:val="en-US"/>
              </w:rPr>
              <w:t>集团</w:t>
            </w:r>
            <w:r w:rsidR="00E84A18">
              <w:rPr>
                <w:rFonts w:ascii="Arial" w:hAnsi="Arial" w:cs="Arial" w:hint="eastAsia"/>
                <w:bCs/>
                <w:color w:val="000000"/>
                <w:lang w:val="en-US"/>
              </w:rPr>
              <w:t>）</w:t>
            </w:r>
            <w:r w:rsidR="00E116AA">
              <w:rPr>
                <w:rFonts w:ascii="Arial" w:hAnsi="Arial" w:cs="Arial" w:hint="eastAsia"/>
                <w:bCs/>
                <w:color w:val="000000"/>
                <w:lang w:val="en-US"/>
              </w:rPr>
              <w:t>。</w:t>
            </w:r>
          </w:p>
        </w:tc>
      </w:tr>
      <w:tr w:rsidR="00AB1591" w14:paraId="501E4A19" w14:textId="77777777" w:rsidTr="00D758F5">
        <w:trPr>
          <w:trHeight w:val="367"/>
          <w:jc w:val="center"/>
        </w:trPr>
        <w:tc>
          <w:tcPr>
            <w:tcW w:w="2061" w:type="dxa"/>
            <w:vMerge w:val="restart"/>
            <w:shd w:val="clear" w:color="auto" w:fill="D9D9D9"/>
            <w:vAlign w:val="center"/>
          </w:tcPr>
          <w:p w14:paraId="621457B3" w14:textId="77777777" w:rsidR="00AB1591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  <w:r>
              <w:rPr>
                <w:rFonts w:ascii="SimSun" w:hAnsi="SimSun" w:cs="SimSun" w:hint="eastAsia"/>
                <w:bCs/>
                <w:color w:val="000000"/>
                <w:lang w:eastAsia="zh-CN"/>
              </w:rPr>
              <w:t>简易案件理由（可以单选，也可以多选）</w:t>
            </w:r>
          </w:p>
        </w:tc>
        <w:tc>
          <w:tcPr>
            <w:tcW w:w="7579" w:type="dxa"/>
            <w:gridSpan w:val="2"/>
            <w:vAlign w:val="center"/>
          </w:tcPr>
          <w:p w14:paraId="417567DC" w14:textId="7124AD99" w:rsidR="00AB1591" w:rsidRDefault="00C546D3" w:rsidP="00DA7000">
            <w:pPr>
              <w:pStyle w:val="BodyText"/>
              <w:adjustRightInd w:val="0"/>
              <w:snapToGrid w:val="0"/>
              <w:spacing w:after="0"/>
              <w:jc w:val="left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  <w:r>
              <w:rPr>
                <w:rFonts w:ascii="SimSun" w:hAnsi="SimSun" w:cs="SimSun" w:hint="eastAsia"/>
                <w:bCs/>
                <w:color w:val="000000"/>
                <w:lang w:eastAsia="zh-CN"/>
              </w:rPr>
              <w:sym w:font="Wingdings" w:char="00A8"/>
            </w:r>
            <w:r w:rsidR="00AB1591">
              <w:rPr>
                <w:rFonts w:ascii="SimSun" w:hAnsi="SimSun" w:cs="SimSun" w:hint="eastAsia"/>
                <w:bCs/>
                <w:color w:val="000000"/>
                <w:lang w:eastAsia="zh-CN"/>
              </w:rPr>
              <w:t xml:space="preserve"> </w:t>
            </w:r>
            <w:r w:rsidR="00AB1591" w:rsidRPr="000C12E5">
              <w:rPr>
                <w:rFonts w:ascii="SimSun" w:hAnsi="SimSun" w:cs="SimSun" w:hint="eastAsia"/>
                <w:bCs/>
                <w:color w:val="000000"/>
                <w:lang w:eastAsia="zh-CN"/>
              </w:rPr>
              <w:t>1.在同一相关市场，参与集中的经营者所占的市场份额之和小于15%。</w:t>
            </w:r>
          </w:p>
        </w:tc>
      </w:tr>
      <w:tr w:rsidR="00AB1591" w14:paraId="0A058781" w14:textId="77777777" w:rsidTr="00D758F5">
        <w:trPr>
          <w:trHeight w:val="163"/>
          <w:jc w:val="center"/>
        </w:trPr>
        <w:tc>
          <w:tcPr>
            <w:tcW w:w="2061" w:type="dxa"/>
            <w:vMerge/>
            <w:shd w:val="clear" w:color="auto" w:fill="D9D9D9"/>
            <w:vAlign w:val="center"/>
          </w:tcPr>
          <w:p w14:paraId="350D7F7E" w14:textId="77777777" w:rsidR="00AB1591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</w:p>
        </w:tc>
        <w:tc>
          <w:tcPr>
            <w:tcW w:w="7579" w:type="dxa"/>
            <w:gridSpan w:val="2"/>
            <w:vAlign w:val="center"/>
          </w:tcPr>
          <w:p w14:paraId="61E0D984" w14:textId="6F1080C4" w:rsidR="00AB1591" w:rsidRDefault="002703AE" w:rsidP="00DA7000">
            <w:pPr>
              <w:pStyle w:val="BodyText"/>
              <w:adjustRightInd w:val="0"/>
              <w:snapToGrid w:val="0"/>
              <w:spacing w:after="0"/>
              <w:jc w:val="left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  <w:r>
              <w:rPr>
                <w:rFonts w:ascii="SimSun" w:hAnsi="SimSun" w:cs="SimSun" w:hint="eastAsia"/>
                <w:bCs/>
                <w:color w:val="000000"/>
                <w:lang w:eastAsia="zh-CN"/>
              </w:rPr>
              <w:sym w:font="Wingdings" w:char="00A8"/>
            </w:r>
            <w:r w:rsidR="00AB1591">
              <w:rPr>
                <w:rFonts w:ascii="SimSun" w:hAnsi="SimSun" w:cs="SimSun" w:hint="eastAsia"/>
                <w:bCs/>
                <w:color w:val="000000"/>
                <w:lang w:eastAsia="zh-CN"/>
              </w:rPr>
              <w:t xml:space="preserve"> </w:t>
            </w:r>
            <w:r w:rsidR="00AB1591" w:rsidRPr="000C12E5">
              <w:rPr>
                <w:rFonts w:ascii="SimSun" w:hAnsi="SimSun" w:cs="SimSun" w:hint="eastAsia"/>
                <w:bCs/>
                <w:color w:val="000000"/>
                <w:lang w:eastAsia="zh-CN"/>
              </w:rPr>
              <w:t>2.在上下游市场，参与集中的经营者所占的市场份额均小于25%。</w:t>
            </w:r>
          </w:p>
        </w:tc>
      </w:tr>
      <w:tr w:rsidR="00AB1591" w14:paraId="19E202C9" w14:textId="77777777" w:rsidTr="00D758F5">
        <w:trPr>
          <w:trHeight w:val="267"/>
          <w:jc w:val="center"/>
        </w:trPr>
        <w:tc>
          <w:tcPr>
            <w:tcW w:w="2061" w:type="dxa"/>
            <w:vMerge/>
            <w:shd w:val="clear" w:color="auto" w:fill="D9D9D9"/>
            <w:vAlign w:val="center"/>
          </w:tcPr>
          <w:p w14:paraId="112C1E95" w14:textId="77777777" w:rsidR="00AB1591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</w:p>
        </w:tc>
        <w:tc>
          <w:tcPr>
            <w:tcW w:w="7579" w:type="dxa"/>
            <w:gridSpan w:val="2"/>
            <w:vAlign w:val="center"/>
          </w:tcPr>
          <w:p w14:paraId="649DEEE0" w14:textId="77777777" w:rsidR="00AB1591" w:rsidRDefault="00AB1591" w:rsidP="00DA7000">
            <w:pPr>
              <w:pStyle w:val="BodyText"/>
              <w:adjustRightInd w:val="0"/>
              <w:snapToGrid w:val="0"/>
              <w:spacing w:after="0"/>
              <w:jc w:val="left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  <w:r>
              <w:rPr>
                <w:rFonts w:ascii="SimSun" w:hAnsi="SimSun" w:cs="SimSun" w:hint="eastAsia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ascii="SimSun" w:hAnsi="SimSun" w:cs="SimSun" w:hint="eastAsia"/>
                <w:bCs/>
                <w:color w:val="000000"/>
                <w:lang w:eastAsia="zh-CN"/>
              </w:rPr>
              <w:t xml:space="preserve"> </w:t>
            </w:r>
            <w:r w:rsidRPr="005517F9">
              <w:rPr>
                <w:rFonts w:ascii="SimSun" w:hAnsi="SimSun" w:cs="SimSun" w:hint="eastAsia"/>
                <w:bCs/>
                <w:color w:val="000000"/>
                <w:lang w:eastAsia="zh-CN"/>
              </w:rPr>
              <w:t>3.不在同一相关市场也不存在上下游关系的参与集中的经营者，在与交易有关的每个市场所占的市场份额均小于25%。</w:t>
            </w:r>
          </w:p>
        </w:tc>
      </w:tr>
      <w:tr w:rsidR="00AB1591" w14:paraId="496AF483" w14:textId="77777777" w:rsidTr="00D758F5">
        <w:trPr>
          <w:trHeight w:val="617"/>
          <w:jc w:val="center"/>
        </w:trPr>
        <w:tc>
          <w:tcPr>
            <w:tcW w:w="2061" w:type="dxa"/>
            <w:vMerge/>
            <w:shd w:val="clear" w:color="auto" w:fill="D9D9D9"/>
            <w:vAlign w:val="center"/>
          </w:tcPr>
          <w:p w14:paraId="0E9192B8" w14:textId="77777777" w:rsidR="00AB1591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</w:p>
        </w:tc>
        <w:tc>
          <w:tcPr>
            <w:tcW w:w="7579" w:type="dxa"/>
            <w:gridSpan w:val="2"/>
            <w:vAlign w:val="center"/>
          </w:tcPr>
          <w:p w14:paraId="01B64B14" w14:textId="38DF8F24" w:rsidR="00AB1591" w:rsidRDefault="00C546D3" w:rsidP="00DA7000">
            <w:pPr>
              <w:pStyle w:val="BodyText"/>
              <w:pageBreakBefore/>
              <w:widowControl w:val="0"/>
              <w:adjustRightInd w:val="0"/>
              <w:snapToGrid w:val="0"/>
              <w:spacing w:after="0"/>
              <w:jc w:val="left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  <w:r>
              <w:rPr>
                <w:rFonts w:ascii="SimSun" w:hAnsi="SimSun" w:cs="SimSun" w:hint="eastAsia"/>
                <w:bCs/>
                <w:color w:val="000000"/>
                <w:lang w:eastAsia="zh-CN"/>
              </w:rPr>
              <w:sym w:font="Wingdings" w:char="00FE"/>
            </w:r>
            <w:r w:rsidR="00AB1591">
              <w:rPr>
                <w:rFonts w:ascii="SimSun" w:hAnsi="SimSun" w:cs="SimSun" w:hint="eastAsia"/>
                <w:bCs/>
                <w:color w:val="000000"/>
                <w:lang w:eastAsia="zh-CN"/>
              </w:rPr>
              <w:t xml:space="preserve"> </w:t>
            </w:r>
            <w:r w:rsidR="00AB1591" w:rsidRPr="001435C8">
              <w:rPr>
                <w:rFonts w:ascii="SimSun" w:hAnsi="SimSun" w:cs="SimSun" w:hint="eastAsia"/>
                <w:bCs/>
                <w:color w:val="000000"/>
                <w:lang w:eastAsia="zh-CN"/>
              </w:rPr>
              <w:t>4.参与集中的经营者在中国境外设立合营企业，合营企业不在中国境内从事经济活动。</w:t>
            </w:r>
          </w:p>
        </w:tc>
      </w:tr>
      <w:tr w:rsidR="00AB1591" w14:paraId="7734741B" w14:textId="77777777" w:rsidTr="00D758F5">
        <w:trPr>
          <w:trHeight w:val="285"/>
          <w:jc w:val="center"/>
        </w:trPr>
        <w:tc>
          <w:tcPr>
            <w:tcW w:w="2061" w:type="dxa"/>
            <w:vMerge/>
            <w:shd w:val="clear" w:color="auto" w:fill="D9D9D9"/>
            <w:vAlign w:val="center"/>
          </w:tcPr>
          <w:p w14:paraId="273332EA" w14:textId="77777777" w:rsidR="00AB1591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</w:p>
        </w:tc>
        <w:tc>
          <w:tcPr>
            <w:tcW w:w="7579" w:type="dxa"/>
            <w:gridSpan w:val="2"/>
            <w:vAlign w:val="center"/>
          </w:tcPr>
          <w:p w14:paraId="72350602" w14:textId="77777777" w:rsidR="00AB1591" w:rsidRDefault="00AB1591" w:rsidP="00DA7000">
            <w:pPr>
              <w:pStyle w:val="BodyText"/>
              <w:adjustRightInd w:val="0"/>
              <w:snapToGrid w:val="0"/>
              <w:spacing w:after="0"/>
              <w:jc w:val="left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  <w:r>
              <w:rPr>
                <w:rFonts w:ascii="SimSun" w:hAnsi="SimSun" w:cs="SimSun" w:hint="eastAsia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ascii="SimSun" w:hAnsi="SimSun" w:cs="SimSun" w:hint="eastAsia"/>
                <w:bCs/>
                <w:color w:val="000000"/>
                <w:lang w:eastAsia="zh-CN"/>
              </w:rPr>
              <w:t xml:space="preserve"> </w:t>
            </w:r>
            <w:r w:rsidRPr="001435C8">
              <w:rPr>
                <w:rFonts w:ascii="SimSun" w:hAnsi="SimSun" w:cs="SimSun" w:hint="eastAsia"/>
                <w:bCs/>
                <w:color w:val="000000"/>
                <w:lang w:eastAsia="zh-CN"/>
              </w:rPr>
              <w:t>5.参与集中的经营者收购境外企业股权或资产的，该境外企业不在中国境内从事经济活动。</w:t>
            </w:r>
          </w:p>
        </w:tc>
      </w:tr>
      <w:tr w:rsidR="00AB1591" w14:paraId="7849EFAA" w14:textId="77777777" w:rsidTr="00D758F5">
        <w:trPr>
          <w:trHeight w:val="345"/>
          <w:jc w:val="center"/>
        </w:trPr>
        <w:tc>
          <w:tcPr>
            <w:tcW w:w="2061" w:type="dxa"/>
            <w:vMerge/>
            <w:shd w:val="clear" w:color="auto" w:fill="D9D9D9"/>
            <w:vAlign w:val="center"/>
          </w:tcPr>
          <w:p w14:paraId="325739E7" w14:textId="77777777" w:rsidR="00AB1591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</w:p>
        </w:tc>
        <w:tc>
          <w:tcPr>
            <w:tcW w:w="7579" w:type="dxa"/>
            <w:gridSpan w:val="2"/>
            <w:vAlign w:val="center"/>
          </w:tcPr>
          <w:p w14:paraId="575523C4" w14:textId="77777777" w:rsidR="00AB1591" w:rsidRDefault="00AB1591" w:rsidP="00DA7000">
            <w:pPr>
              <w:pStyle w:val="BodyText"/>
              <w:adjustRightInd w:val="0"/>
              <w:snapToGrid w:val="0"/>
              <w:spacing w:after="0"/>
              <w:jc w:val="left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  <w:r>
              <w:rPr>
                <w:rFonts w:ascii="SimSun" w:hAnsi="SimSun" w:cs="SimSun" w:hint="eastAsia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ascii="SimSun" w:hAnsi="SimSun" w:cs="SimSun" w:hint="eastAsia"/>
                <w:bCs/>
                <w:color w:val="000000"/>
                <w:lang w:eastAsia="zh-CN"/>
              </w:rPr>
              <w:t xml:space="preserve"> </w:t>
            </w:r>
            <w:r w:rsidRPr="001435C8">
              <w:rPr>
                <w:rFonts w:ascii="SimSun" w:hAnsi="SimSun" w:cs="SimSun" w:hint="eastAsia"/>
                <w:bCs/>
                <w:color w:val="000000"/>
                <w:lang w:eastAsia="zh-CN"/>
              </w:rPr>
              <w:t>6.由两个以上的经营者共同控制的合营企业，通过集中被其中一个或一个以上经营者控制。</w:t>
            </w:r>
          </w:p>
        </w:tc>
      </w:tr>
      <w:tr w:rsidR="00AB1591" w14:paraId="766EFD51" w14:textId="77777777" w:rsidTr="00DA7000">
        <w:trPr>
          <w:trHeight w:val="465"/>
          <w:jc w:val="center"/>
        </w:trPr>
        <w:tc>
          <w:tcPr>
            <w:tcW w:w="2061" w:type="dxa"/>
            <w:shd w:val="clear" w:color="auto" w:fill="D9D9D9"/>
            <w:vAlign w:val="center"/>
          </w:tcPr>
          <w:p w14:paraId="477C4850" w14:textId="77777777" w:rsidR="00AB1591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  <w:r>
              <w:rPr>
                <w:rFonts w:ascii="SimSun" w:hAnsi="SimSun" w:cs="SimSun" w:hint="eastAsia"/>
                <w:bCs/>
                <w:color w:val="000000"/>
                <w:lang w:val="en-US" w:eastAsia="zh-CN"/>
              </w:rPr>
              <w:t>备注</w:t>
            </w:r>
          </w:p>
        </w:tc>
        <w:tc>
          <w:tcPr>
            <w:tcW w:w="7579" w:type="dxa"/>
            <w:gridSpan w:val="2"/>
            <w:vAlign w:val="center"/>
          </w:tcPr>
          <w:p w14:paraId="70187C8C" w14:textId="1225D13B" w:rsidR="00AB1591" w:rsidRPr="00C546D3" w:rsidRDefault="00C546D3" w:rsidP="00D758F5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</w:rPr>
            </w:pPr>
            <w:r w:rsidRPr="00C546D3">
              <w:rPr>
                <w:rFonts w:ascii="SimSun" w:hAnsi="SimSun" w:cs="SimSun" w:hint="eastAsia"/>
                <w:bCs/>
                <w:color w:val="000000"/>
                <w:lang w:eastAsia="zh-CN"/>
              </w:rPr>
              <w:t>不适用</w:t>
            </w:r>
          </w:p>
        </w:tc>
      </w:tr>
    </w:tbl>
    <w:p w14:paraId="0D8914B2" w14:textId="43E3242E" w:rsidR="00AB1591" w:rsidRPr="00F372D2" w:rsidRDefault="00AB1591" w:rsidP="00F372D2">
      <w:pPr>
        <w:pStyle w:val="BodyText"/>
        <w:adjustRightInd w:val="0"/>
        <w:snapToGrid w:val="0"/>
        <w:spacing w:after="0"/>
        <w:rPr>
          <w:rFonts w:ascii="SimSun" w:hAnsi="SimSun" w:cs="SimSun"/>
          <w:bCs/>
          <w:color w:val="000000"/>
          <w:lang w:eastAsia="zh-CN"/>
        </w:rPr>
      </w:pPr>
    </w:p>
    <w:sectPr w:rsidR="00AB1591" w:rsidRPr="00F372D2" w:rsidSect="008F360C">
      <w:pgSz w:w="11906" w:h="16838"/>
      <w:pgMar w:top="1440" w:right="1440" w:bottom="1276" w:left="144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71CC8" w14:textId="77777777" w:rsidR="000E52FB" w:rsidRDefault="000E52FB">
      <w:pPr>
        <w:spacing w:after="0"/>
      </w:pPr>
      <w:r>
        <w:separator/>
      </w:r>
    </w:p>
  </w:endnote>
  <w:endnote w:type="continuationSeparator" w:id="0">
    <w:p w14:paraId="69B76C89" w14:textId="77777777" w:rsidR="000E52FB" w:rsidRDefault="000E52FB">
      <w:pPr>
        <w:spacing w:after="0"/>
      </w:pPr>
      <w:r>
        <w:continuationSeparator/>
      </w:r>
    </w:p>
  </w:endnote>
  <w:endnote w:type="continuationNotice" w:id="1">
    <w:p w14:paraId="70101A4A" w14:textId="77777777" w:rsidR="000E52FB" w:rsidRDefault="000E52F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36A2B" w14:textId="77777777" w:rsidR="000E52FB" w:rsidRDefault="000E52FB">
      <w:pPr>
        <w:spacing w:after="0"/>
      </w:pPr>
      <w:r>
        <w:separator/>
      </w:r>
    </w:p>
  </w:footnote>
  <w:footnote w:type="continuationSeparator" w:id="0">
    <w:p w14:paraId="2AC640FC" w14:textId="77777777" w:rsidR="000E52FB" w:rsidRDefault="000E52FB">
      <w:pPr>
        <w:spacing w:after="0"/>
      </w:pPr>
      <w:r>
        <w:continuationSeparator/>
      </w:r>
    </w:p>
  </w:footnote>
  <w:footnote w:type="continuationNotice" w:id="1">
    <w:p w14:paraId="3147E110" w14:textId="77777777" w:rsidR="000E52FB" w:rsidRDefault="000E52F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95CAD"/>
    <w:multiLevelType w:val="multilevel"/>
    <w:tmpl w:val="25195CAD"/>
    <w:lvl w:ilvl="0">
      <w:start w:val="1"/>
      <w:numFmt w:val="bullet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" w15:restartNumberingAfterBreak="0">
    <w:nsid w:val="4F0244F7"/>
    <w:multiLevelType w:val="multilevel"/>
    <w:tmpl w:val="4F0244F7"/>
    <w:lvl w:ilvl="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B4F0377"/>
    <w:multiLevelType w:val="multilevel"/>
    <w:tmpl w:val="6B4F0377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 w16cid:durableId="440031797">
    <w:abstractNumId w:val="2"/>
  </w:num>
  <w:num w:numId="2" w16cid:durableId="1890915228">
    <w:abstractNumId w:val="0"/>
  </w:num>
  <w:num w:numId="3" w16cid:durableId="158425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oNotTrackFormatting/>
  <w:styleLockQFSet/>
  <w:defaultTabStop w:val="720"/>
  <w:drawingGridHorizontalSpacing w:val="12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CC"/>
    <w:rsid w:val="84E59F3C"/>
    <w:rsid w:val="8534106F"/>
    <w:rsid w:val="87743ADA"/>
    <w:rsid w:val="87AFA60D"/>
    <w:rsid w:val="8D771EA3"/>
    <w:rsid w:val="8EF545B6"/>
    <w:rsid w:val="8F7FAE7C"/>
    <w:rsid w:val="8FBB26B2"/>
    <w:rsid w:val="8FF72E86"/>
    <w:rsid w:val="8FF748B9"/>
    <w:rsid w:val="91FC2290"/>
    <w:rsid w:val="926FA108"/>
    <w:rsid w:val="9376D5C8"/>
    <w:rsid w:val="939E3DB3"/>
    <w:rsid w:val="971EEBF9"/>
    <w:rsid w:val="979602E8"/>
    <w:rsid w:val="97DF2F14"/>
    <w:rsid w:val="97FBB6EB"/>
    <w:rsid w:val="97FF9B57"/>
    <w:rsid w:val="99BFD0A7"/>
    <w:rsid w:val="99FB4705"/>
    <w:rsid w:val="9B0956C8"/>
    <w:rsid w:val="9BBCD445"/>
    <w:rsid w:val="9CFB8099"/>
    <w:rsid w:val="9DBBADFE"/>
    <w:rsid w:val="9DFE4303"/>
    <w:rsid w:val="9E7FC310"/>
    <w:rsid w:val="9EBBCDE8"/>
    <w:rsid w:val="9EDB29B9"/>
    <w:rsid w:val="9EDF847B"/>
    <w:rsid w:val="9F57860F"/>
    <w:rsid w:val="9F7E83BC"/>
    <w:rsid w:val="9FAA1E79"/>
    <w:rsid w:val="9FDAFD84"/>
    <w:rsid w:val="9FE7929F"/>
    <w:rsid w:val="9FEEE9B9"/>
    <w:rsid w:val="9FF2DC44"/>
    <w:rsid w:val="9FF4F744"/>
    <w:rsid w:val="9FFA4BD1"/>
    <w:rsid w:val="9FFF1DA7"/>
    <w:rsid w:val="A5E73DD2"/>
    <w:rsid w:val="A77F0128"/>
    <w:rsid w:val="A9CFD01B"/>
    <w:rsid w:val="A9F6E7BA"/>
    <w:rsid w:val="AA73DDB7"/>
    <w:rsid w:val="ABEF9D54"/>
    <w:rsid w:val="ABF5260D"/>
    <w:rsid w:val="ABFA31A4"/>
    <w:rsid w:val="AC6F92C3"/>
    <w:rsid w:val="AD6DAE1A"/>
    <w:rsid w:val="ADE3DF10"/>
    <w:rsid w:val="ADFBCAD1"/>
    <w:rsid w:val="ADFF38DB"/>
    <w:rsid w:val="AE17E6FB"/>
    <w:rsid w:val="AE96EA6E"/>
    <w:rsid w:val="AEBB3E95"/>
    <w:rsid w:val="AEE79CC0"/>
    <w:rsid w:val="AF5B1B8B"/>
    <w:rsid w:val="AF5C8793"/>
    <w:rsid w:val="AF979623"/>
    <w:rsid w:val="AFE62D7B"/>
    <w:rsid w:val="AFE77282"/>
    <w:rsid w:val="AFEDA589"/>
    <w:rsid w:val="AFFE4237"/>
    <w:rsid w:val="AFFEB8F2"/>
    <w:rsid w:val="B2FFC9E7"/>
    <w:rsid w:val="B337DDCF"/>
    <w:rsid w:val="B37FF00B"/>
    <w:rsid w:val="B39EA0D9"/>
    <w:rsid w:val="B3DF946F"/>
    <w:rsid w:val="B3F7F657"/>
    <w:rsid w:val="B3FD20F2"/>
    <w:rsid w:val="B3FFDD73"/>
    <w:rsid w:val="B453D96F"/>
    <w:rsid w:val="B53DDEDC"/>
    <w:rsid w:val="B57FCA7F"/>
    <w:rsid w:val="B5DDCBA8"/>
    <w:rsid w:val="B5DFD61B"/>
    <w:rsid w:val="B5F73E27"/>
    <w:rsid w:val="B5FE3839"/>
    <w:rsid w:val="B5FE4DC0"/>
    <w:rsid w:val="B6DBE1F8"/>
    <w:rsid w:val="B6FEEB89"/>
    <w:rsid w:val="B6FF5108"/>
    <w:rsid w:val="B6FF9F6B"/>
    <w:rsid w:val="B737B11B"/>
    <w:rsid w:val="B77F5DE1"/>
    <w:rsid w:val="B7876DAB"/>
    <w:rsid w:val="B7DEB543"/>
    <w:rsid w:val="B7F753D8"/>
    <w:rsid w:val="B7F9AF5F"/>
    <w:rsid w:val="B91E5A96"/>
    <w:rsid w:val="B979EAE5"/>
    <w:rsid w:val="B9ACA7B9"/>
    <w:rsid w:val="B9D7D21C"/>
    <w:rsid w:val="B9F7BCFA"/>
    <w:rsid w:val="BA37F569"/>
    <w:rsid w:val="BA9DA00A"/>
    <w:rsid w:val="BB2B0C03"/>
    <w:rsid w:val="BB9FA3A4"/>
    <w:rsid w:val="BBB716C6"/>
    <w:rsid w:val="BBCF6D6B"/>
    <w:rsid w:val="BBDB1017"/>
    <w:rsid w:val="BBEDC4E2"/>
    <w:rsid w:val="BBFDD955"/>
    <w:rsid w:val="BBFE1663"/>
    <w:rsid w:val="BBFF149D"/>
    <w:rsid w:val="BBFF871A"/>
    <w:rsid w:val="BC578433"/>
    <w:rsid w:val="BC7F1D07"/>
    <w:rsid w:val="BC9E8286"/>
    <w:rsid w:val="BC9F765B"/>
    <w:rsid w:val="BCB349F8"/>
    <w:rsid w:val="BCDF2383"/>
    <w:rsid w:val="BCEFE232"/>
    <w:rsid w:val="BCFED484"/>
    <w:rsid w:val="BCFFB816"/>
    <w:rsid w:val="BD6E5A8A"/>
    <w:rsid w:val="BD75A479"/>
    <w:rsid w:val="BD7B4372"/>
    <w:rsid w:val="BDBB3948"/>
    <w:rsid w:val="BDBEF976"/>
    <w:rsid w:val="BDDC60A3"/>
    <w:rsid w:val="BDDDB18C"/>
    <w:rsid w:val="BDF3C4BC"/>
    <w:rsid w:val="BDF73C92"/>
    <w:rsid w:val="BDF765F6"/>
    <w:rsid w:val="BDF7F28A"/>
    <w:rsid w:val="BDFCD2A1"/>
    <w:rsid w:val="BDFDB891"/>
    <w:rsid w:val="BE8F61FF"/>
    <w:rsid w:val="BEA76C33"/>
    <w:rsid w:val="BEBCC0C0"/>
    <w:rsid w:val="BEBE6B4E"/>
    <w:rsid w:val="BEF59FF0"/>
    <w:rsid w:val="BEF89B81"/>
    <w:rsid w:val="BEFD6D96"/>
    <w:rsid w:val="BEFED243"/>
    <w:rsid w:val="BEFF1ECB"/>
    <w:rsid w:val="BF3B7045"/>
    <w:rsid w:val="BF7374EB"/>
    <w:rsid w:val="BFBEEF59"/>
    <w:rsid w:val="BFBF33C1"/>
    <w:rsid w:val="BFCE656F"/>
    <w:rsid w:val="BFD98C23"/>
    <w:rsid w:val="BFDD9601"/>
    <w:rsid w:val="BFDF031C"/>
    <w:rsid w:val="BFECC6D9"/>
    <w:rsid w:val="BFEFBAA7"/>
    <w:rsid w:val="BFFE0B01"/>
    <w:rsid w:val="BFFF0BA1"/>
    <w:rsid w:val="C335F688"/>
    <w:rsid w:val="C37EDC1F"/>
    <w:rsid w:val="C3D4FB9A"/>
    <w:rsid w:val="C59FCD24"/>
    <w:rsid w:val="C5FE4867"/>
    <w:rsid w:val="C5FFD6F0"/>
    <w:rsid w:val="C6DE0E63"/>
    <w:rsid w:val="C6F1C045"/>
    <w:rsid w:val="C76E776A"/>
    <w:rsid w:val="C77F76C9"/>
    <w:rsid w:val="CADE927D"/>
    <w:rsid w:val="CAFB2439"/>
    <w:rsid w:val="CB37AB53"/>
    <w:rsid w:val="CB3FDFB9"/>
    <w:rsid w:val="CB7D4528"/>
    <w:rsid w:val="CBA74DAD"/>
    <w:rsid w:val="CD70D15A"/>
    <w:rsid w:val="CD7FDC06"/>
    <w:rsid w:val="CECB3BD6"/>
    <w:rsid w:val="CF1F01F8"/>
    <w:rsid w:val="CF6702E8"/>
    <w:rsid w:val="CF7F0ADA"/>
    <w:rsid w:val="CFAFA8B3"/>
    <w:rsid w:val="CFBE596F"/>
    <w:rsid w:val="CFEB3B24"/>
    <w:rsid w:val="CFFE65AE"/>
    <w:rsid w:val="CFFFA018"/>
    <w:rsid w:val="D25FA9CA"/>
    <w:rsid w:val="D2AE25E6"/>
    <w:rsid w:val="D34FEDF1"/>
    <w:rsid w:val="D3F2FA30"/>
    <w:rsid w:val="D47F46C4"/>
    <w:rsid w:val="D4FFA1FF"/>
    <w:rsid w:val="D5AD09F7"/>
    <w:rsid w:val="D5DC246E"/>
    <w:rsid w:val="D67EB649"/>
    <w:rsid w:val="D6BB4FA3"/>
    <w:rsid w:val="D6FF0AD2"/>
    <w:rsid w:val="D76D9A37"/>
    <w:rsid w:val="D77CE423"/>
    <w:rsid w:val="D7BF26B5"/>
    <w:rsid w:val="D7CE51BA"/>
    <w:rsid w:val="D7EFE8F7"/>
    <w:rsid w:val="D7F9272C"/>
    <w:rsid w:val="D8AD4578"/>
    <w:rsid w:val="D99F5AC5"/>
    <w:rsid w:val="D9DEF241"/>
    <w:rsid w:val="D9DFA9B2"/>
    <w:rsid w:val="DB551BA2"/>
    <w:rsid w:val="DB6F7390"/>
    <w:rsid w:val="DB7A8AE6"/>
    <w:rsid w:val="DBAD5F9B"/>
    <w:rsid w:val="DCFF2B66"/>
    <w:rsid w:val="DCFF3C30"/>
    <w:rsid w:val="DD77F5C7"/>
    <w:rsid w:val="DDA5AB18"/>
    <w:rsid w:val="DDD44021"/>
    <w:rsid w:val="DDF7BB5D"/>
    <w:rsid w:val="DDFACD3C"/>
    <w:rsid w:val="DDFF75D3"/>
    <w:rsid w:val="DDFF99FD"/>
    <w:rsid w:val="DE0E315C"/>
    <w:rsid w:val="DE374209"/>
    <w:rsid w:val="DEA69F54"/>
    <w:rsid w:val="DEB4B4DC"/>
    <w:rsid w:val="DEB6E6F2"/>
    <w:rsid w:val="DEDBDB5A"/>
    <w:rsid w:val="DEE4EDED"/>
    <w:rsid w:val="DEEF1FFD"/>
    <w:rsid w:val="DEEF7289"/>
    <w:rsid w:val="DEFE1564"/>
    <w:rsid w:val="DF1BC291"/>
    <w:rsid w:val="DF5F5393"/>
    <w:rsid w:val="DF5FDA3F"/>
    <w:rsid w:val="DF7113B8"/>
    <w:rsid w:val="DF755E08"/>
    <w:rsid w:val="DF7E6041"/>
    <w:rsid w:val="DF9237FE"/>
    <w:rsid w:val="DFB36254"/>
    <w:rsid w:val="DFB3BACE"/>
    <w:rsid w:val="DFB7E1F9"/>
    <w:rsid w:val="DFBD1245"/>
    <w:rsid w:val="DFBEE897"/>
    <w:rsid w:val="DFCF8FB9"/>
    <w:rsid w:val="DFE7D979"/>
    <w:rsid w:val="DFEB714C"/>
    <w:rsid w:val="DFEDEC74"/>
    <w:rsid w:val="DFF7AA89"/>
    <w:rsid w:val="DFFD3C7B"/>
    <w:rsid w:val="DFFF50B4"/>
    <w:rsid w:val="E19AD666"/>
    <w:rsid w:val="E1FF2836"/>
    <w:rsid w:val="E2F3D63A"/>
    <w:rsid w:val="E36DD547"/>
    <w:rsid w:val="E3DD847B"/>
    <w:rsid w:val="E3E74D65"/>
    <w:rsid w:val="E3FE57C8"/>
    <w:rsid w:val="E4B71478"/>
    <w:rsid w:val="E5AFBE85"/>
    <w:rsid w:val="E5BF98E0"/>
    <w:rsid w:val="E6BFED86"/>
    <w:rsid w:val="E6D60022"/>
    <w:rsid w:val="E764CC0B"/>
    <w:rsid w:val="E76F7A78"/>
    <w:rsid w:val="E7D5C629"/>
    <w:rsid w:val="E7FFA950"/>
    <w:rsid w:val="E8DC18CA"/>
    <w:rsid w:val="E8F7B6B8"/>
    <w:rsid w:val="E919BAFA"/>
    <w:rsid w:val="E96B4C62"/>
    <w:rsid w:val="E9DBD7F3"/>
    <w:rsid w:val="EADB9567"/>
    <w:rsid w:val="EAF2CB22"/>
    <w:rsid w:val="EAFF36D2"/>
    <w:rsid w:val="EAFFC35A"/>
    <w:rsid w:val="EB532CEF"/>
    <w:rsid w:val="EB9FA6CD"/>
    <w:rsid w:val="EBA7885C"/>
    <w:rsid w:val="EBB7D72D"/>
    <w:rsid w:val="EBEF3381"/>
    <w:rsid w:val="EBEFA88D"/>
    <w:rsid w:val="EBFE79B4"/>
    <w:rsid w:val="EBFF3C97"/>
    <w:rsid w:val="EC5F3DF8"/>
    <w:rsid w:val="ECBFE48C"/>
    <w:rsid w:val="ECFFE31D"/>
    <w:rsid w:val="ED2FD6C9"/>
    <w:rsid w:val="ED3D6A88"/>
    <w:rsid w:val="ED78A3FD"/>
    <w:rsid w:val="ED7FD3F2"/>
    <w:rsid w:val="ED8A5B22"/>
    <w:rsid w:val="ED8F8CA8"/>
    <w:rsid w:val="EDCDF313"/>
    <w:rsid w:val="EDDF9529"/>
    <w:rsid w:val="EDE7B6AD"/>
    <w:rsid w:val="EDF2B816"/>
    <w:rsid w:val="EDF78CBE"/>
    <w:rsid w:val="EDFBE145"/>
    <w:rsid w:val="EE5D0B1E"/>
    <w:rsid w:val="EE9F7B44"/>
    <w:rsid w:val="EEB3DDC8"/>
    <w:rsid w:val="EEBE564A"/>
    <w:rsid w:val="EEBF44FA"/>
    <w:rsid w:val="EEDFDD0C"/>
    <w:rsid w:val="EEF02CD2"/>
    <w:rsid w:val="EEF13C01"/>
    <w:rsid w:val="EEF9AAE0"/>
    <w:rsid w:val="EEFE93BE"/>
    <w:rsid w:val="EEFEC7A5"/>
    <w:rsid w:val="EF1F9018"/>
    <w:rsid w:val="EF3D10BE"/>
    <w:rsid w:val="EF5B8D96"/>
    <w:rsid w:val="EF5F6A56"/>
    <w:rsid w:val="EF5F6AD8"/>
    <w:rsid w:val="EF6CB25D"/>
    <w:rsid w:val="EF6F1FB8"/>
    <w:rsid w:val="EF777D40"/>
    <w:rsid w:val="EF7A704C"/>
    <w:rsid w:val="EFAD19DB"/>
    <w:rsid w:val="EFBDFFFF"/>
    <w:rsid w:val="EFBF9029"/>
    <w:rsid w:val="EFBFDDE8"/>
    <w:rsid w:val="EFD0F43F"/>
    <w:rsid w:val="EFD47AFB"/>
    <w:rsid w:val="EFE7A407"/>
    <w:rsid w:val="EFE95745"/>
    <w:rsid w:val="EFF17321"/>
    <w:rsid w:val="EFFB4BBF"/>
    <w:rsid w:val="EFFF88D0"/>
    <w:rsid w:val="EFFF8E9F"/>
    <w:rsid w:val="EFFFB4D8"/>
    <w:rsid w:val="EFFFE09F"/>
    <w:rsid w:val="F06F0348"/>
    <w:rsid w:val="F1978354"/>
    <w:rsid w:val="F1FF1ADC"/>
    <w:rsid w:val="F1FF2E20"/>
    <w:rsid w:val="F25996C0"/>
    <w:rsid w:val="F27F6C45"/>
    <w:rsid w:val="F2F5DC79"/>
    <w:rsid w:val="F2FBAAA4"/>
    <w:rsid w:val="F33FFF2F"/>
    <w:rsid w:val="F3BF87D0"/>
    <w:rsid w:val="F3D8F379"/>
    <w:rsid w:val="F3DDAB5A"/>
    <w:rsid w:val="F3F31866"/>
    <w:rsid w:val="F57356A8"/>
    <w:rsid w:val="F57F4DEC"/>
    <w:rsid w:val="F59EB3FB"/>
    <w:rsid w:val="F5A78F63"/>
    <w:rsid w:val="F5DD2FB3"/>
    <w:rsid w:val="F5EF3783"/>
    <w:rsid w:val="F63F2C1B"/>
    <w:rsid w:val="F67BA745"/>
    <w:rsid w:val="F6B6DA7F"/>
    <w:rsid w:val="F6BFF652"/>
    <w:rsid w:val="F6DA961A"/>
    <w:rsid w:val="F6DB9538"/>
    <w:rsid w:val="F71EBFDD"/>
    <w:rsid w:val="F73E2DCD"/>
    <w:rsid w:val="F73F01E2"/>
    <w:rsid w:val="F73F2D9D"/>
    <w:rsid w:val="F74E3598"/>
    <w:rsid w:val="F75FAFE6"/>
    <w:rsid w:val="F76F3BB6"/>
    <w:rsid w:val="F77FA674"/>
    <w:rsid w:val="F77FBC5F"/>
    <w:rsid w:val="F7879A83"/>
    <w:rsid w:val="F7AF51EF"/>
    <w:rsid w:val="F7C772D5"/>
    <w:rsid w:val="F7CEBBA6"/>
    <w:rsid w:val="F7D5B0A9"/>
    <w:rsid w:val="F7D93817"/>
    <w:rsid w:val="F7DDF3E8"/>
    <w:rsid w:val="F7DFA68B"/>
    <w:rsid w:val="F7F6D992"/>
    <w:rsid w:val="F7FBC781"/>
    <w:rsid w:val="F7FDAF87"/>
    <w:rsid w:val="F7FE6F2A"/>
    <w:rsid w:val="F7FF591D"/>
    <w:rsid w:val="F7FF83D7"/>
    <w:rsid w:val="F96DEE9F"/>
    <w:rsid w:val="F987A287"/>
    <w:rsid w:val="F99E5991"/>
    <w:rsid w:val="F99FCD12"/>
    <w:rsid w:val="F9BF61F2"/>
    <w:rsid w:val="F9BFE398"/>
    <w:rsid w:val="F9E5F5D2"/>
    <w:rsid w:val="F9EEE004"/>
    <w:rsid w:val="F9F767D5"/>
    <w:rsid w:val="F9F7AA55"/>
    <w:rsid w:val="F9FBB37A"/>
    <w:rsid w:val="F9FFD579"/>
    <w:rsid w:val="FA7E80AE"/>
    <w:rsid w:val="FA87EB6C"/>
    <w:rsid w:val="FA997347"/>
    <w:rsid w:val="FAB23F28"/>
    <w:rsid w:val="FABD8739"/>
    <w:rsid w:val="FAF92F7E"/>
    <w:rsid w:val="FAFB0DB0"/>
    <w:rsid w:val="FAFB2312"/>
    <w:rsid w:val="FAFBD6DC"/>
    <w:rsid w:val="FAFD133D"/>
    <w:rsid w:val="FAFF785F"/>
    <w:rsid w:val="FB23D3CD"/>
    <w:rsid w:val="FB3EAFB0"/>
    <w:rsid w:val="FB3FC325"/>
    <w:rsid w:val="FB47C34A"/>
    <w:rsid w:val="FB4E1EE9"/>
    <w:rsid w:val="FB4F2943"/>
    <w:rsid w:val="FB7419FB"/>
    <w:rsid w:val="FB7D6D7D"/>
    <w:rsid w:val="FBAF0C18"/>
    <w:rsid w:val="FBBB02F4"/>
    <w:rsid w:val="FBBF8290"/>
    <w:rsid w:val="FBCF5980"/>
    <w:rsid w:val="FBD2FD27"/>
    <w:rsid w:val="FBEEA9DB"/>
    <w:rsid w:val="FBEF23CF"/>
    <w:rsid w:val="FBF95ACC"/>
    <w:rsid w:val="FBFAF8A8"/>
    <w:rsid w:val="FBFB155F"/>
    <w:rsid w:val="FBFE4F91"/>
    <w:rsid w:val="FBFFBC84"/>
    <w:rsid w:val="FBFFF83C"/>
    <w:rsid w:val="FC376E87"/>
    <w:rsid w:val="FC580C1F"/>
    <w:rsid w:val="FC60EF5B"/>
    <w:rsid w:val="FC679DCE"/>
    <w:rsid w:val="FC7C7F48"/>
    <w:rsid w:val="FCB710D6"/>
    <w:rsid w:val="FCBB2161"/>
    <w:rsid w:val="FCBE31FF"/>
    <w:rsid w:val="FCBED8B6"/>
    <w:rsid w:val="FCBF7EDD"/>
    <w:rsid w:val="FCBFCFBA"/>
    <w:rsid w:val="FCEB5DE9"/>
    <w:rsid w:val="FCED55F9"/>
    <w:rsid w:val="FCF98840"/>
    <w:rsid w:val="FCFC0CDA"/>
    <w:rsid w:val="FCFFEB3F"/>
    <w:rsid w:val="FD3C669E"/>
    <w:rsid w:val="FD4E09D2"/>
    <w:rsid w:val="FD57BF19"/>
    <w:rsid w:val="FD5F3B51"/>
    <w:rsid w:val="FD7FF81B"/>
    <w:rsid w:val="FD7FFEF2"/>
    <w:rsid w:val="FDB99AD5"/>
    <w:rsid w:val="FDBF40AA"/>
    <w:rsid w:val="FDBF5EF8"/>
    <w:rsid w:val="FDD53DF2"/>
    <w:rsid w:val="FDD56892"/>
    <w:rsid w:val="FDD7CA56"/>
    <w:rsid w:val="FDDF904E"/>
    <w:rsid w:val="FDF3D45D"/>
    <w:rsid w:val="FDF58A61"/>
    <w:rsid w:val="FDF7C36A"/>
    <w:rsid w:val="FDF7CC70"/>
    <w:rsid w:val="FDFBAAAD"/>
    <w:rsid w:val="FDFBBFD1"/>
    <w:rsid w:val="FDFDF662"/>
    <w:rsid w:val="FDFE0854"/>
    <w:rsid w:val="FDFEC962"/>
    <w:rsid w:val="FDFEEBF8"/>
    <w:rsid w:val="FDFEF6BD"/>
    <w:rsid w:val="FDFFD83A"/>
    <w:rsid w:val="FE1DB343"/>
    <w:rsid w:val="FE6938BD"/>
    <w:rsid w:val="FE79C651"/>
    <w:rsid w:val="FE867391"/>
    <w:rsid w:val="FE9D5241"/>
    <w:rsid w:val="FEAA8CA8"/>
    <w:rsid w:val="FEAAF366"/>
    <w:rsid w:val="FEBB170E"/>
    <w:rsid w:val="FEBD957F"/>
    <w:rsid w:val="FEBF9FEB"/>
    <w:rsid w:val="FECB057F"/>
    <w:rsid w:val="FECF6888"/>
    <w:rsid w:val="FED2BCEC"/>
    <w:rsid w:val="FED7994F"/>
    <w:rsid w:val="FEDEF732"/>
    <w:rsid w:val="FEE6BAAC"/>
    <w:rsid w:val="FEEB5A37"/>
    <w:rsid w:val="FEF32360"/>
    <w:rsid w:val="FEFB7700"/>
    <w:rsid w:val="FEFCE624"/>
    <w:rsid w:val="FEFD9FDE"/>
    <w:rsid w:val="FEFF8844"/>
    <w:rsid w:val="FEFFAC29"/>
    <w:rsid w:val="FF07A50A"/>
    <w:rsid w:val="FF1F16D4"/>
    <w:rsid w:val="FF2BC3B0"/>
    <w:rsid w:val="FF374416"/>
    <w:rsid w:val="FF3A5BEB"/>
    <w:rsid w:val="FF3B2BEA"/>
    <w:rsid w:val="FF57E5F2"/>
    <w:rsid w:val="FF5EA250"/>
    <w:rsid w:val="FF5F9293"/>
    <w:rsid w:val="FF6F40E1"/>
    <w:rsid w:val="FF6F43E4"/>
    <w:rsid w:val="FF75B7FE"/>
    <w:rsid w:val="FF7D9AFF"/>
    <w:rsid w:val="FF7ED9C0"/>
    <w:rsid w:val="FF7FCF47"/>
    <w:rsid w:val="FF932FB5"/>
    <w:rsid w:val="FF9C0707"/>
    <w:rsid w:val="FF9DDC90"/>
    <w:rsid w:val="FF9F9845"/>
    <w:rsid w:val="FFA381E9"/>
    <w:rsid w:val="FFA5209C"/>
    <w:rsid w:val="FFBA9A5A"/>
    <w:rsid w:val="FFBAC180"/>
    <w:rsid w:val="FFBC9A19"/>
    <w:rsid w:val="FFBD73A7"/>
    <w:rsid w:val="FFBF09D8"/>
    <w:rsid w:val="FFBF5F2B"/>
    <w:rsid w:val="FFBF9F10"/>
    <w:rsid w:val="FFCD94C4"/>
    <w:rsid w:val="FFCE6D93"/>
    <w:rsid w:val="FFCF2B19"/>
    <w:rsid w:val="FFD586E7"/>
    <w:rsid w:val="FFD70C83"/>
    <w:rsid w:val="FFD79FBF"/>
    <w:rsid w:val="FFD7F5D4"/>
    <w:rsid w:val="FFDB9E23"/>
    <w:rsid w:val="FFE48A63"/>
    <w:rsid w:val="FFE6BDAB"/>
    <w:rsid w:val="FFE7ED8E"/>
    <w:rsid w:val="FFE895C8"/>
    <w:rsid w:val="FFEA028B"/>
    <w:rsid w:val="FFEB13F2"/>
    <w:rsid w:val="FFEB288F"/>
    <w:rsid w:val="FFEBA3FB"/>
    <w:rsid w:val="FFED8D6A"/>
    <w:rsid w:val="FFED9DBF"/>
    <w:rsid w:val="FFEDE9F4"/>
    <w:rsid w:val="FFEEBBED"/>
    <w:rsid w:val="FFEF0944"/>
    <w:rsid w:val="FFEF0FE1"/>
    <w:rsid w:val="FFEF1198"/>
    <w:rsid w:val="FFEF4465"/>
    <w:rsid w:val="FFEF52A8"/>
    <w:rsid w:val="FFEF7937"/>
    <w:rsid w:val="FFEFB2F3"/>
    <w:rsid w:val="FFF5CE24"/>
    <w:rsid w:val="FFF70FC9"/>
    <w:rsid w:val="FFF77EF4"/>
    <w:rsid w:val="FFF79BAF"/>
    <w:rsid w:val="FFF832F8"/>
    <w:rsid w:val="FFFA0145"/>
    <w:rsid w:val="FFFACDAE"/>
    <w:rsid w:val="FFFAED4A"/>
    <w:rsid w:val="FFFBB4CE"/>
    <w:rsid w:val="FFFBC7F6"/>
    <w:rsid w:val="FFFD1CEF"/>
    <w:rsid w:val="FFFDE69C"/>
    <w:rsid w:val="FFFDF773"/>
    <w:rsid w:val="FFFEC0A3"/>
    <w:rsid w:val="FFFF3CF0"/>
    <w:rsid w:val="FFFF4664"/>
    <w:rsid w:val="FFFF4760"/>
    <w:rsid w:val="FFFF4D38"/>
    <w:rsid w:val="FFFF639E"/>
    <w:rsid w:val="FFFFD9C4"/>
    <w:rsid w:val="FFFFE72C"/>
    <w:rsid w:val="FFFFEE3B"/>
    <w:rsid w:val="000024FF"/>
    <w:rsid w:val="000027BD"/>
    <w:rsid w:val="00003F5C"/>
    <w:rsid w:val="0000484E"/>
    <w:rsid w:val="00007A77"/>
    <w:rsid w:val="000150B7"/>
    <w:rsid w:val="00021AB2"/>
    <w:rsid w:val="00031015"/>
    <w:rsid w:val="000326C8"/>
    <w:rsid w:val="000350B3"/>
    <w:rsid w:val="00041C40"/>
    <w:rsid w:val="0004292A"/>
    <w:rsid w:val="000467AA"/>
    <w:rsid w:val="00051A9D"/>
    <w:rsid w:val="00060387"/>
    <w:rsid w:val="00061ACC"/>
    <w:rsid w:val="00062616"/>
    <w:rsid w:val="00073E6B"/>
    <w:rsid w:val="0007723F"/>
    <w:rsid w:val="00077D60"/>
    <w:rsid w:val="00083590"/>
    <w:rsid w:val="00092F4E"/>
    <w:rsid w:val="000A5310"/>
    <w:rsid w:val="000B0B68"/>
    <w:rsid w:val="000B58E5"/>
    <w:rsid w:val="000B5958"/>
    <w:rsid w:val="000B653C"/>
    <w:rsid w:val="000C12E5"/>
    <w:rsid w:val="000C6953"/>
    <w:rsid w:val="000D0853"/>
    <w:rsid w:val="000D1D88"/>
    <w:rsid w:val="000E29A9"/>
    <w:rsid w:val="000E3A81"/>
    <w:rsid w:val="000E52FB"/>
    <w:rsid w:val="000E62AE"/>
    <w:rsid w:val="00107E19"/>
    <w:rsid w:val="00115F62"/>
    <w:rsid w:val="00120A21"/>
    <w:rsid w:val="00123E26"/>
    <w:rsid w:val="0013032F"/>
    <w:rsid w:val="001435C8"/>
    <w:rsid w:val="00144ED5"/>
    <w:rsid w:val="00145A04"/>
    <w:rsid w:val="00145B05"/>
    <w:rsid w:val="00155A42"/>
    <w:rsid w:val="001639D8"/>
    <w:rsid w:val="00165C83"/>
    <w:rsid w:val="00167474"/>
    <w:rsid w:val="00173A59"/>
    <w:rsid w:val="00186A05"/>
    <w:rsid w:val="001965E2"/>
    <w:rsid w:val="001B0A42"/>
    <w:rsid w:val="001B4EA1"/>
    <w:rsid w:val="001C5840"/>
    <w:rsid w:val="001C611D"/>
    <w:rsid w:val="001D1555"/>
    <w:rsid w:val="001D6168"/>
    <w:rsid w:val="001E0F1F"/>
    <w:rsid w:val="001E3B08"/>
    <w:rsid w:val="001F346E"/>
    <w:rsid w:val="001F35AA"/>
    <w:rsid w:val="001F367B"/>
    <w:rsid w:val="002003C5"/>
    <w:rsid w:val="002039FD"/>
    <w:rsid w:val="0022298A"/>
    <w:rsid w:val="00224A7C"/>
    <w:rsid w:val="00227605"/>
    <w:rsid w:val="002278D1"/>
    <w:rsid w:val="00231665"/>
    <w:rsid w:val="00233737"/>
    <w:rsid w:val="002403B5"/>
    <w:rsid w:val="00245281"/>
    <w:rsid w:val="00250E61"/>
    <w:rsid w:val="00261F94"/>
    <w:rsid w:val="0026623A"/>
    <w:rsid w:val="002676B9"/>
    <w:rsid w:val="00267941"/>
    <w:rsid w:val="002703AE"/>
    <w:rsid w:val="00280D00"/>
    <w:rsid w:val="00287E91"/>
    <w:rsid w:val="00291652"/>
    <w:rsid w:val="00295A9A"/>
    <w:rsid w:val="002964A1"/>
    <w:rsid w:val="002A25F2"/>
    <w:rsid w:val="002A2905"/>
    <w:rsid w:val="002A7C26"/>
    <w:rsid w:val="002B4708"/>
    <w:rsid w:val="002B7C97"/>
    <w:rsid w:val="002D0419"/>
    <w:rsid w:val="002E143B"/>
    <w:rsid w:val="002E19BF"/>
    <w:rsid w:val="002F09A7"/>
    <w:rsid w:val="002F0E0C"/>
    <w:rsid w:val="002F5271"/>
    <w:rsid w:val="00305DB4"/>
    <w:rsid w:val="00306B88"/>
    <w:rsid w:val="00310488"/>
    <w:rsid w:val="003106CF"/>
    <w:rsid w:val="00311263"/>
    <w:rsid w:val="00314D27"/>
    <w:rsid w:val="00324806"/>
    <w:rsid w:val="0034107F"/>
    <w:rsid w:val="0034394B"/>
    <w:rsid w:val="00344D27"/>
    <w:rsid w:val="00351DBB"/>
    <w:rsid w:val="0035604C"/>
    <w:rsid w:val="00371332"/>
    <w:rsid w:val="0037525D"/>
    <w:rsid w:val="003850D4"/>
    <w:rsid w:val="00385F00"/>
    <w:rsid w:val="003866EF"/>
    <w:rsid w:val="00395ACD"/>
    <w:rsid w:val="003A4565"/>
    <w:rsid w:val="003B1232"/>
    <w:rsid w:val="003B27EC"/>
    <w:rsid w:val="003B2F86"/>
    <w:rsid w:val="003B4439"/>
    <w:rsid w:val="003B4C9E"/>
    <w:rsid w:val="003B7CBC"/>
    <w:rsid w:val="003C3456"/>
    <w:rsid w:val="003D3FCB"/>
    <w:rsid w:val="003E1907"/>
    <w:rsid w:val="003E3B57"/>
    <w:rsid w:val="003E73DB"/>
    <w:rsid w:val="003F1EAC"/>
    <w:rsid w:val="00410914"/>
    <w:rsid w:val="004119F5"/>
    <w:rsid w:val="004166B2"/>
    <w:rsid w:val="004203EF"/>
    <w:rsid w:val="00427E52"/>
    <w:rsid w:val="00446353"/>
    <w:rsid w:val="0044739B"/>
    <w:rsid w:val="00447FA5"/>
    <w:rsid w:val="00467A6B"/>
    <w:rsid w:val="00474E97"/>
    <w:rsid w:val="00483A62"/>
    <w:rsid w:val="0049707A"/>
    <w:rsid w:val="004973DB"/>
    <w:rsid w:val="0049771A"/>
    <w:rsid w:val="004A4BF1"/>
    <w:rsid w:val="004A5F76"/>
    <w:rsid w:val="004B5561"/>
    <w:rsid w:val="004C3420"/>
    <w:rsid w:val="004C389A"/>
    <w:rsid w:val="004D018B"/>
    <w:rsid w:val="004D124C"/>
    <w:rsid w:val="004D4435"/>
    <w:rsid w:val="0050166E"/>
    <w:rsid w:val="00504EF0"/>
    <w:rsid w:val="00512A53"/>
    <w:rsid w:val="00523905"/>
    <w:rsid w:val="005251B9"/>
    <w:rsid w:val="00530BB4"/>
    <w:rsid w:val="00534AD1"/>
    <w:rsid w:val="00545A47"/>
    <w:rsid w:val="005517F9"/>
    <w:rsid w:val="00557B7E"/>
    <w:rsid w:val="005617F2"/>
    <w:rsid w:val="0057200D"/>
    <w:rsid w:val="00584750"/>
    <w:rsid w:val="00591CEC"/>
    <w:rsid w:val="005A74EA"/>
    <w:rsid w:val="005B0CEB"/>
    <w:rsid w:val="005B18A3"/>
    <w:rsid w:val="005B657F"/>
    <w:rsid w:val="005D277C"/>
    <w:rsid w:val="005D6D17"/>
    <w:rsid w:val="005E4B84"/>
    <w:rsid w:val="005E7B2F"/>
    <w:rsid w:val="005F5280"/>
    <w:rsid w:val="005F7223"/>
    <w:rsid w:val="0060413B"/>
    <w:rsid w:val="00605EE6"/>
    <w:rsid w:val="0060669E"/>
    <w:rsid w:val="00614EBB"/>
    <w:rsid w:val="0061583E"/>
    <w:rsid w:val="00617BCA"/>
    <w:rsid w:val="0063142E"/>
    <w:rsid w:val="00632159"/>
    <w:rsid w:val="00645B6A"/>
    <w:rsid w:val="00651ED7"/>
    <w:rsid w:val="00652D70"/>
    <w:rsid w:val="00655225"/>
    <w:rsid w:val="00664174"/>
    <w:rsid w:val="006643EA"/>
    <w:rsid w:val="0067348D"/>
    <w:rsid w:val="006745A9"/>
    <w:rsid w:val="00682729"/>
    <w:rsid w:val="006A3F69"/>
    <w:rsid w:val="006A5B9F"/>
    <w:rsid w:val="006A6F18"/>
    <w:rsid w:val="006A79C4"/>
    <w:rsid w:val="006B4541"/>
    <w:rsid w:val="006D1D39"/>
    <w:rsid w:val="006D1E2B"/>
    <w:rsid w:val="006E0D98"/>
    <w:rsid w:val="006E3180"/>
    <w:rsid w:val="006E6E26"/>
    <w:rsid w:val="006E70AA"/>
    <w:rsid w:val="006F28E7"/>
    <w:rsid w:val="006F7A98"/>
    <w:rsid w:val="007029CB"/>
    <w:rsid w:val="00705778"/>
    <w:rsid w:val="00710977"/>
    <w:rsid w:val="0071288A"/>
    <w:rsid w:val="0071373B"/>
    <w:rsid w:val="00720F7B"/>
    <w:rsid w:val="00726B19"/>
    <w:rsid w:val="00727BD0"/>
    <w:rsid w:val="007373F0"/>
    <w:rsid w:val="00742AFE"/>
    <w:rsid w:val="00742EDF"/>
    <w:rsid w:val="00751420"/>
    <w:rsid w:val="00753648"/>
    <w:rsid w:val="007674D7"/>
    <w:rsid w:val="007675F6"/>
    <w:rsid w:val="00772298"/>
    <w:rsid w:val="007914C6"/>
    <w:rsid w:val="00794062"/>
    <w:rsid w:val="00794408"/>
    <w:rsid w:val="00797584"/>
    <w:rsid w:val="007A2D94"/>
    <w:rsid w:val="007B651A"/>
    <w:rsid w:val="007B6ED8"/>
    <w:rsid w:val="007B733D"/>
    <w:rsid w:val="007B738C"/>
    <w:rsid w:val="007B75E4"/>
    <w:rsid w:val="007E2608"/>
    <w:rsid w:val="007F1726"/>
    <w:rsid w:val="0080200E"/>
    <w:rsid w:val="00803A33"/>
    <w:rsid w:val="008051ED"/>
    <w:rsid w:val="00811775"/>
    <w:rsid w:val="008142AF"/>
    <w:rsid w:val="008248B2"/>
    <w:rsid w:val="00824E77"/>
    <w:rsid w:val="00834D88"/>
    <w:rsid w:val="00844F14"/>
    <w:rsid w:val="00864085"/>
    <w:rsid w:val="00867028"/>
    <w:rsid w:val="00872533"/>
    <w:rsid w:val="00876448"/>
    <w:rsid w:val="008803D0"/>
    <w:rsid w:val="00880F24"/>
    <w:rsid w:val="008836AF"/>
    <w:rsid w:val="00885C9B"/>
    <w:rsid w:val="00893879"/>
    <w:rsid w:val="008B2172"/>
    <w:rsid w:val="008B6E07"/>
    <w:rsid w:val="008C266F"/>
    <w:rsid w:val="008D4ED8"/>
    <w:rsid w:val="008D644E"/>
    <w:rsid w:val="008E5BCA"/>
    <w:rsid w:val="008F360C"/>
    <w:rsid w:val="009022B0"/>
    <w:rsid w:val="00905F4A"/>
    <w:rsid w:val="009145E4"/>
    <w:rsid w:val="009301D9"/>
    <w:rsid w:val="0094346F"/>
    <w:rsid w:val="00953187"/>
    <w:rsid w:val="009551E9"/>
    <w:rsid w:val="0096333E"/>
    <w:rsid w:val="0096490A"/>
    <w:rsid w:val="009668EC"/>
    <w:rsid w:val="00977C3B"/>
    <w:rsid w:val="00986A9A"/>
    <w:rsid w:val="009901B5"/>
    <w:rsid w:val="009A0BCC"/>
    <w:rsid w:val="009A2B23"/>
    <w:rsid w:val="009A2EFA"/>
    <w:rsid w:val="009A57C5"/>
    <w:rsid w:val="009A6CD4"/>
    <w:rsid w:val="009A6E66"/>
    <w:rsid w:val="009B0211"/>
    <w:rsid w:val="009C16F8"/>
    <w:rsid w:val="009C1DE7"/>
    <w:rsid w:val="009C2C05"/>
    <w:rsid w:val="009C5625"/>
    <w:rsid w:val="009C5962"/>
    <w:rsid w:val="009D0999"/>
    <w:rsid w:val="009D7862"/>
    <w:rsid w:val="009E679E"/>
    <w:rsid w:val="009F0698"/>
    <w:rsid w:val="009F0D17"/>
    <w:rsid w:val="00A05705"/>
    <w:rsid w:val="00A11D21"/>
    <w:rsid w:val="00A14643"/>
    <w:rsid w:val="00A16F03"/>
    <w:rsid w:val="00A20564"/>
    <w:rsid w:val="00A20754"/>
    <w:rsid w:val="00A21136"/>
    <w:rsid w:val="00A2266D"/>
    <w:rsid w:val="00A3188C"/>
    <w:rsid w:val="00A3323A"/>
    <w:rsid w:val="00A46C66"/>
    <w:rsid w:val="00A46FAF"/>
    <w:rsid w:val="00A5287F"/>
    <w:rsid w:val="00A5674A"/>
    <w:rsid w:val="00A623EF"/>
    <w:rsid w:val="00A64F91"/>
    <w:rsid w:val="00A7438D"/>
    <w:rsid w:val="00A74797"/>
    <w:rsid w:val="00A7601D"/>
    <w:rsid w:val="00A81984"/>
    <w:rsid w:val="00A95E6B"/>
    <w:rsid w:val="00AA068C"/>
    <w:rsid w:val="00AA0F23"/>
    <w:rsid w:val="00AA3E2F"/>
    <w:rsid w:val="00AA46CA"/>
    <w:rsid w:val="00AA535B"/>
    <w:rsid w:val="00AB1591"/>
    <w:rsid w:val="00AB620A"/>
    <w:rsid w:val="00AB7EC3"/>
    <w:rsid w:val="00AC3273"/>
    <w:rsid w:val="00AC68C4"/>
    <w:rsid w:val="00AD310D"/>
    <w:rsid w:val="00AD3D4D"/>
    <w:rsid w:val="00AE4069"/>
    <w:rsid w:val="00AE7916"/>
    <w:rsid w:val="00AF09EA"/>
    <w:rsid w:val="00AF1D6D"/>
    <w:rsid w:val="00AF5632"/>
    <w:rsid w:val="00AF7089"/>
    <w:rsid w:val="00B01646"/>
    <w:rsid w:val="00B03A7D"/>
    <w:rsid w:val="00B04913"/>
    <w:rsid w:val="00B100EB"/>
    <w:rsid w:val="00B2169A"/>
    <w:rsid w:val="00B31D4D"/>
    <w:rsid w:val="00B3616B"/>
    <w:rsid w:val="00B37633"/>
    <w:rsid w:val="00B518C9"/>
    <w:rsid w:val="00B52EAC"/>
    <w:rsid w:val="00B54969"/>
    <w:rsid w:val="00B6084A"/>
    <w:rsid w:val="00B80B9E"/>
    <w:rsid w:val="00B838DA"/>
    <w:rsid w:val="00B83CA7"/>
    <w:rsid w:val="00B853DE"/>
    <w:rsid w:val="00B86E3A"/>
    <w:rsid w:val="00BA017F"/>
    <w:rsid w:val="00BD535F"/>
    <w:rsid w:val="00BE6E64"/>
    <w:rsid w:val="00BF31B7"/>
    <w:rsid w:val="00BF4F99"/>
    <w:rsid w:val="00C10048"/>
    <w:rsid w:val="00C25EA9"/>
    <w:rsid w:val="00C30E9B"/>
    <w:rsid w:val="00C40D54"/>
    <w:rsid w:val="00C424FC"/>
    <w:rsid w:val="00C51ECC"/>
    <w:rsid w:val="00C52EF9"/>
    <w:rsid w:val="00C546D3"/>
    <w:rsid w:val="00C600D9"/>
    <w:rsid w:val="00C67ADA"/>
    <w:rsid w:val="00C810E8"/>
    <w:rsid w:val="00C847C2"/>
    <w:rsid w:val="00C90BF7"/>
    <w:rsid w:val="00C94C96"/>
    <w:rsid w:val="00CA6613"/>
    <w:rsid w:val="00CA70FB"/>
    <w:rsid w:val="00CB571A"/>
    <w:rsid w:val="00CC25D0"/>
    <w:rsid w:val="00CC69AD"/>
    <w:rsid w:val="00CD07C0"/>
    <w:rsid w:val="00CD4F63"/>
    <w:rsid w:val="00CD51C8"/>
    <w:rsid w:val="00CD54C4"/>
    <w:rsid w:val="00CF1664"/>
    <w:rsid w:val="00CF5A8A"/>
    <w:rsid w:val="00D01278"/>
    <w:rsid w:val="00D12AB1"/>
    <w:rsid w:val="00D210DE"/>
    <w:rsid w:val="00D23B36"/>
    <w:rsid w:val="00D27AEB"/>
    <w:rsid w:val="00D31F85"/>
    <w:rsid w:val="00D37B2B"/>
    <w:rsid w:val="00D53BAE"/>
    <w:rsid w:val="00D53E50"/>
    <w:rsid w:val="00D57DBA"/>
    <w:rsid w:val="00D57EBC"/>
    <w:rsid w:val="00D616E2"/>
    <w:rsid w:val="00D64977"/>
    <w:rsid w:val="00D66472"/>
    <w:rsid w:val="00D71F76"/>
    <w:rsid w:val="00D77095"/>
    <w:rsid w:val="00D80573"/>
    <w:rsid w:val="00D94BB1"/>
    <w:rsid w:val="00D961C9"/>
    <w:rsid w:val="00D97B80"/>
    <w:rsid w:val="00DA1D73"/>
    <w:rsid w:val="00DA316F"/>
    <w:rsid w:val="00DA7000"/>
    <w:rsid w:val="00DA7307"/>
    <w:rsid w:val="00DB2761"/>
    <w:rsid w:val="00DB2FF6"/>
    <w:rsid w:val="00DD0E0C"/>
    <w:rsid w:val="00DD7765"/>
    <w:rsid w:val="00DE522D"/>
    <w:rsid w:val="00E06974"/>
    <w:rsid w:val="00E116AA"/>
    <w:rsid w:val="00E23955"/>
    <w:rsid w:val="00E340CC"/>
    <w:rsid w:val="00E417DF"/>
    <w:rsid w:val="00E47327"/>
    <w:rsid w:val="00E66815"/>
    <w:rsid w:val="00E72CF3"/>
    <w:rsid w:val="00E7385D"/>
    <w:rsid w:val="00E84A18"/>
    <w:rsid w:val="00E86579"/>
    <w:rsid w:val="00E90A19"/>
    <w:rsid w:val="00E974F8"/>
    <w:rsid w:val="00EA2758"/>
    <w:rsid w:val="00EA38E5"/>
    <w:rsid w:val="00EA79DA"/>
    <w:rsid w:val="00EC1274"/>
    <w:rsid w:val="00EC3217"/>
    <w:rsid w:val="00EC636E"/>
    <w:rsid w:val="00EC7E55"/>
    <w:rsid w:val="00ED6F93"/>
    <w:rsid w:val="00ED7298"/>
    <w:rsid w:val="00EE6642"/>
    <w:rsid w:val="00EE6B49"/>
    <w:rsid w:val="00EE7984"/>
    <w:rsid w:val="00EE7CB8"/>
    <w:rsid w:val="00EF16FB"/>
    <w:rsid w:val="00F02216"/>
    <w:rsid w:val="00F0291C"/>
    <w:rsid w:val="00F101DD"/>
    <w:rsid w:val="00F14193"/>
    <w:rsid w:val="00F14D59"/>
    <w:rsid w:val="00F1733A"/>
    <w:rsid w:val="00F20CCE"/>
    <w:rsid w:val="00F3614E"/>
    <w:rsid w:val="00F372D2"/>
    <w:rsid w:val="00F374B2"/>
    <w:rsid w:val="00F56870"/>
    <w:rsid w:val="00F576E0"/>
    <w:rsid w:val="00F603F3"/>
    <w:rsid w:val="00F6440C"/>
    <w:rsid w:val="00F87813"/>
    <w:rsid w:val="00F901CF"/>
    <w:rsid w:val="00F90205"/>
    <w:rsid w:val="00F906EF"/>
    <w:rsid w:val="00FB1FA1"/>
    <w:rsid w:val="00FB33FD"/>
    <w:rsid w:val="00FB645E"/>
    <w:rsid w:val="00FC35ED"/>
    <w:rsid w:val="00FD56EE"/>
    <w:rsid w:val="00FD6CD9"/>
    <w:rsid w:val="00FE20D9"/>
    <w:rsid w:val="00FF7804"/>
    <w:rsid w:val="03FDA2BC"/>
    <w:rsid w:val="04904FA4"/>
    <w:rsid w:val="049B3B35"/>
    <w:rsid w:val="05BF65B9"/>
    <w:rsid w:val="097FB9B0"/>
    <w:rsid w:val="0BBD7568"/>
    <w:rsid w:val="0C7A1979"/>
    <w:rsid w:val="0D8DC5E1"/>
    <w:rsid w:val="0D9F6625"/>
    <w:rsid w:val="0EF8859F"/>
    <w:rsid w:val="0F643142"/>
    <w:rsid w:val="0FBD0BFA"/>
    <w:rsid w:val="0FF750C3"/>
    <w:rsid w:val="0FFACC31"/>
    <w:rsid w:val="10FA6C45"/>
    <w:rsid w:val="15D2125B"/>
    <w:rsid w:val="17395E35"/>
    <w:rsid w:val="17AFEFC6"/>
    <w:rsid w:val="17EE000C"/>
    <w:rsid w:val="19DFB821"/>
    <w:rsid w:val="1BDF5A24"/>
    <w:rsid w:val="1BE7A6FD"/>
    <w:rsid w:val="1D7FD58E"/>
    <w:rsid w:val="1DBFC80F"/>
    <w:rsid w:val="1DE946ED"/>
    <w:rsid w:val="1DEDD446"/>
    <w:rsid w:val="1EF7132E"/>
    <w:rsid w:val="1F7BCE5F"/>
    <w:rsid w:val="1F861F45"/>
    <w:rsid w:val="1FEF570A"/>
    <w:rsid w:val="1FFDBA82"/>
    <w:rsid w:val="21741FBC"/>
    <w:rsid w:val="23FF8C75"/>
    <w:rsid w:val="23FFF0BF"/>
    <w:rsid w:val="25A61B70"/>
    <w:rsid w:val="25FFE568"/>
    <w:rsid w:val="261D4CA0"/>
    <w:rsid w:val="26CFAE11"/>
    <w:rsid w:val="277F9E7E"/>
    <w:rsid w:val="279DE221"/>
    <w:rsid w:val="27FDB7F1"/>
    <w:rsid w:val="29038002"/>
    <w:rsid w:val="29EFBA72"/>
    <w:rsid w:val="2A3DBE84"/>
    <w:rsid w:val="2ABFCFF1"/>
    <w:rsid w:val="2B7D29A5"/>
    <w:rsid w:val="2BB50C75"/>
    <w:rsid w:val="2BDF3E0D"/>
    <w:rsid w:val="2C881EC2"/>
    <w:rsid w:val="2D1E6B10"/>
    <w:rsid w:val="2DB5E5F0"/>
    <w:rsid w:val="2E2B8FB1"/>
    <w:rsid w:val="2E3B7022"/>
    <w:rsid w:val="2EA86696"/>
    <w:rsid w:val="2EDBD162"/>
    <w:rsid w:val="2EDF0E9D"/>
    <w:rsid w:val="2EF96D8A"/>
    <w:rsid w:val="2F3F3404"/>
    <w:rsid w:val="2F5FA7F0"/>
    <w:rsid w:val="2F627547"/>
    <w:rsid w:val="2FF44249"/>
    <w:rsid w:val="2FF924A9"/>
    <w:rsid w:val="2FFA45F9"/>
    <w:rsid w:val="2FFDA087"/>
    <w:rsid w:val="31470931"/>
    <w:rsid w:val="31D05087"/>
    <w:rsid w:val="3202308C"/>
    <w:rsid w:val="32DF4678"/>
    <w:rsid w:val="32F861A6"/>
    <w:rsid w:val="339F7BDE"/>
    <w:rsid w:val="33AE1EF6"/>
    <w:rsid w:val="33FF4F2E"/>
    <w:rsid w:val="35EDDFD3"/>
    <w:rsid w:val="35F65C11"/>
    <w:rsid w:val="365AE5AD"/>
    <w:rsid w:val="366F8DD3"/>
    <w:rsid w:val="3794BA7A"/>
    <w:rsid w:val="37BF4C8A"/>
    <w:rsid w:val="37EB5AE6"/>
    <w:rsid w:val="37F70101"/>
    <w:rsid w:val="37FDA3AA"/>
    <w:rsid w:val="37FDAB85"/>
    <w:rsid w:val="37FE1B68"/>
    <w:rsid w:val="37FEFEAE"/>
    <w:rsid w:val="37FFC9A6"/>
    <w:rsid w:val="37FFCC29"/>
    <w:rsid w:val="3ABDA3FE"/>
    <w:rsid w:val="3AEFDBD4"/>
    <w:rsid w:val="3B7B7066"/>
    <w:rsid w:val="3BBDA242"/>
    <w:rsid w:val="3BDF9F69"/>
    <w:rsid w:val="3BEDED19"/>
    <w:rsid w:val="3BFFFE0C"/>
    <w:rsid w:val="3D6F0AEC"/>
    <w:rsid w:val="3D77C6DA"/>
    <w:rsid w:val="3D797B18"/>
    <w:rsid w:val="3DA615F6"/>
    <w:rsid w:val="3DBB4CBE"/>
    <w:rsid w:val="3DDF2299"/>
    <w:rsid w:val="3DF36AC0"/>
    <w:rsid w:val="3DFDF9AD"/>
    <w:rsid w:val="3DFE292E"/>
    <w:rsid w:val="3DFF849D"/>
    <w:rsid w:val="3E7FE082"/>
    <w:rsid w:val="3EB798F5"/>
    <w:rsid w:val="3EBEEE8A"/>
    <w:rsid w:val="3EFE7DD2"/>
    <w:rsid w:val="3F3E7438"/>
    <w:rsid w:val="3F6A2B3D"/>
    <w:rsid w:val="3F7B5DED"/>
    <w:rsid w:val="3F7F52FA"/>
    <w:rsid w:val="3F9F4EDF"/>
    <w:rsid w:val="3FA65724"/>
    <w:rsid w:val="3FAEC8AC"/>
    <w:rsid w:val="3FAF13E3"/>
    <w:rsid w:val="3FBCBDBF"/>
    <w:rsid w:val="3FBD8BCC"/>
    <w:rsid w:val="3FCB0780"/>
    <w:rsid w:val="3FCD1929"/>
    <w:rsid w:val="3FCE9098"/>
    <w:rsid w:val="3FD70472"/>
    <w:rsid w:val="3FDBA0A4"/>
    <w:rsid w:val="3FDD8515"/>
    <w:rsid w:val="3FDDAA45"/>
    <w:rsid w:val="3FDF4C95"/>
    <w:rsid w:val="3FEBF32A"/>
    <w:rsid w:val="3FF3B81B"/>
    <w:rsid w:val="3FF883BA"/>
    <w:rsid w:val="3FFB7B87"/>
    <w:rsid w:val="3FFB9009"/>
    <w:rsid w:val="3FFD00FA"/>
    <w:rsid w:val="3FFDD212"/>
    <w:rsid w:val="3FFE2640"/>
    <w:rsid w:val="3FFFC85E"/>
    <w:rsid w:val="42C7515C"/>
    <w:rsid w:val="42F753FC"/>
    <w:rsid w:val="449B372C"/>
    <w:rsid w:val="46CE6229"/>
    <w:rsid w:val="4773B61B"/>
    <w:rsid w:val="47F50431"/>
    <w:rsid w:val="4B1B3133"/>
    <w:rsid w:val="4B7BFAEC"/>
    <w:rsid w:val="4BBFA8A3"/>
    <w:rsid w:val="4BC7DFAF"/>
    <w:rsid w:val="4BFCF763"/>
    <w:rsid w:val="4C5FB004"/>
    <w:rsid w:val="4CEF7E6C"/>
    <w:rsid w:val="4E5F2D28"/>
    <w:rsid w:val="4E7F2481"/>
    <w:rsid w:val="4E933C15"/>
    <w:rsid w:val="4F31D5A6"/>
    <w:rsid w:val="4F5FD38E"/>
    <w:rsid w:val="4F898F5D"/>
    <w:rsid w:val="4FB0517E"/>
    <w:rsid w:val="4FBE9350"/>
    <w:rsid w:val="4FC745E8"/>
    <w:rsid w:val="51D33B29"/>
    <w:rsid w:val="533B0B15"/>
    <w:rsid w:val="537F3E63"/>
    <w:rsid w:val="53EB1897"/>
    <w:rsid w:val="53F6645B"/>
    <w:rsid w:val="54F7D74E"/>
    <w:rsid w:val="55CB7262"/>
    <w:rsid w:val="55D63CD0"/>
    <w:rsid w:val="55EF5DFD"/>
    <w:rsid w:val="55F7A917"/>
    <w:rsid w:val="55FB6AD8"/>
    <w:rsid w:val="563E5CD6"/>
    <w:rsid w:val="56872AE0"/>
    <w:rsid w:val="56F35C6F"/>
    <w:rsid w:val="577DBDFE"/>
    <w:rsid w:val="57BB52F0"/>
    <w:rsid w:val="57BF346C"/>
    <w:rsid w:val="57C61670"/>
    <w:rsid w:val="57D7FC0A"/>
    <w:rsid w:val="57EDBFC2"/>
    <w:rsid w:val="57FBEB1A"/>
    <w:rsid w:val="57FF144E"/>
    <w:rsid w:val="593BA966"/>
    <w:rsid w:val="596702BC"/>
    <w:rsid w:val="596E70EE"/>
    <w:rsid w:val="597BD232"/>
    <w:rsid w:val="59BBA5FA"/>
    <w:rsid w:val="59E7B117"/>
    <w:rsid w:val="59F68A71"/>
    <w:rsid w:val="59FF5B14"/>
    <w:rsid w:val="5ABE31AA"/>
    <w:rsid w:val="5AF36F9D"/>
    <w:rsid w:val="5B27C3E5"/>
    <w:rsid w:val="5B6DF53D"/>
    <w:rsid w:val="5B7E4C2A"/>
    <w:rsid w:val="5BC05F2A"/>
    <w:rsid w:val="5BF20CFE"/>
    <w:rsid w:val="5BF71B84"/>
    <w:rsid w:val="5BFF9EFA"/>
    <w:rsid w:val="5C5D82A5"/>
    <w:rsid w:val="5C634121"/>
    <w:rsid w:val="5CFA3319"/>
    <w:rsid w:val="5CFB5B29"/>
    <w:rsid w:val="5DAD3D62"/>
    <w:rsid w:val="5DDB5B2C"/>
    <w:rsid w:val="5DDD5EAB"/>
    <w:rsid w:val="5DDD7D50"/>
    <w:rsid w:val="5DEEAABD"/>
    <w:rsid w:val="5DFEBFA4"/>
    <w:rsid w:val="5E1350D1"/>
    <w:rsid w:val="5E3EF07D"/>
    <w:rsid w:val="5E7FC42A"/>
    <w:rsid w:val="5E7FFC22"/>
    <w:rsid w:val="5EBFBDFE"/>
    <w:rsid w:val="5EEC52F0"/>
    <w:rsid w:val="5F262FF8"/>
    <w:rsid w:val="5F3B652D"/>
    <w:rsid w:val="5F3F1076"/>
    <w:rsid w:val="5F5FC764"/>
    <w:rsid w:val="5F6AF969"/>
    <w:rsid w:val="5F6D39CB"/>
    <w:rsid w:val="5F7F9F24"/>
    <w:rsid w:val="5F7FB766"/>
    <w:rsid w:val="5FAF0FA4"/>
    <w:rsid w:val="5FB9A655"/>
    <w:rsid w:val="5FBB7874"/>
    <w:rsid w:val="5FBE46F4"/>
    <w:rsid w:val="5FDE0D0C"/>
    <w:rsid w:val="5FE72070"/>
    <w:rsid w:val="5FE9A66C"/>
    <w:rsid w:val="5FEDE911"/>
    <w:rsid w:val="5FEF5482"/>
    <w:rsid w:val="5FEFA8EB"/>
    <w:rsid w:val="5FF06251"/>
    <w:rsid w:val="5FFC6772"/>
    <w:rsid w:val="5FFC96C1"/>
    <w:rsid w:val="5FFE2E1E"/>
    <w:rsid w:val="627AAA82"/>
    <w:rsid w:val="62FF31B9"/>
    <w:rsid w:val="63951BF9"/>
    <w:rsid w:val="63F73954"/>
    <w:rsid w:val="63FF8F2C"/>
    <w:rsid w:val="64374E25"/>
    <w:rsid w:val="651FCC50"/>
    <w:rsid w:val="657B0D3E"/>
    <w:rsid w:val="65F73EC6"/>
    <w:rsid w:val="663FA755"/>
    <w:rsid w:val="665751AA"/>
    <w:rsid w:val="673D7209"/>
    <w:rsid w:val="677F17DD"/>
    <w:rsid w:val="67A7EB91"/>
    <w:rsid w:val="67AFC4C1"/>
    <w:rsid w:val="67BF0596"/>
    <w:rsid w:val="67D7DF31"/>
    <w:rsid w:val="67E99500"/>
    <w:rsid w:val="67EA3A08"/>
    <w:rsid w:val="67F73BBD"/>
    <w:rsid w:val="67F7E75E"/>
    <w:rsid w:val="68FF5894"/>
    <w:rsid w:val="694F6E4F"/>
    <w:rsid w:val="69FE46C2"/>
    <w:rsid w:val="69FEEE64"/>
    <w:rsid w:val="69FF8DE6"/>
    <w:rsid w:val="6A3F06E0"/>
    <w:rsid w:val="6A7E6758"/>
    <w:rsid w:val="6ADB120A"/>
    <w:rsid w:val="6AED0694"/>
    <w:rsid w:val="6AFFEE4F"/>
    <w:rsid w:val="6B5F29E8"/>
    <w:rsid w:val="6B7C039F"/>
    <w:rsid w:val="6B7D8B7B"/>
    <w:rsid w:val="6BB78D55"/>
    <w:rsid w:val="6BBD5DBB"/>
    <w:rsid w:val="6BDF8FAD"/>
    <w:rsid w:val="6BFB7686"/>
    <w:rsid w:val="6BFC72AA"/>
    <w:rsid w:val="6BFFECAC"/>
    <w:rsid w:val="6CB6AAC4"/>
    <w:rsid w:val="6CCFF28A"/>
    <w:rsid w:val="6DB79430"/>
    <w:rsid w:val="6DDFCDD2"/>
    <w:rsid w:val="6DEE4FF5"/>
    <w:rsid w:val="6DEF4880"/>
    <w:rsid w:val="6DF70056"/>
    <w:rsid w:val="6DF9F477"/>
    <w:rsid w:val="6E577EF1"/>
    <w:rsid w:val="6E6FBD9A"/>
    <w:rsid w:val="6E7FD7A9"/>
    <w:rsid w:val="6E9D0B4E"/>
    <w:rsid w:val="6EC32F39"/>
    <w:rsid w:val="6EE7A953"/>
    <w:rsid w:val="6EFEBF42"/>
    <w:rsid w:val="6F1709DD"/>
    <w:rsid w:val="6F273A88"/>
    <w:rsid w:val="6F3F3750"/>
    <w:rsid w:val="6F6B27C9"/>
    <w:rsid w:val="6F737271"/>
    <w:rsid w:val="6F773F08"/>
    <w:rsid w:val="6FB2140B"/>
    <w:rsid w:val="6FC5B335"/>
    <w:rsid w:val="6FDF90D8"/>
    <w:rsid w:val="6FDF9C0D"/>
    <w:rsid w:val="6FDFB550"/>
    <w:rsid w:val="6FE45F99"/>
    <w:rsid w:val="6FEBC232"/>
    <w:rsid w:val="6FECE4C2"/>
    <w:rsid w:val="6FED1560"/>
    <w:rsid w:val="6FEF0C82"/>
    <w:rsid w:val="6FEF15C5"/>
    <w:rsid w:val="6FFB3026"/>
    <w:rsid w:val="6FFC9A20"/>
    <w:rsid w:val="6FFD8868"/>
    <w:rsid w:val="707E6DFD"/>
    <w:rsid w:val="712725C0"/>
    <w:rsid w:val="71BFAF06"/>
    <w:rsid w:val="7297BF16"/>
    <w:rsid w:val="72DEB067"/>
    <w:rsid w:val="72EF9581"/>
    <w:rsid w:val="737F54C8"/>
    <w:rsid w:val="739BF4DB"/>
    <w:rsid w:val="73BBA7E4"/>
    <w:rsid w:val="73CE945C"/>
    <w:rsid w:val="73FDD8F7"/>
    <w:rsid w:val="73FFBF30"/>
    <w:rsid w:val="73FFDF67"/>
    <w:rsid w:val="74958C1B"/>
    <w:rsid w:val="74FF8B76"/>
    <w:rsid w:val="7597D4BE"/>
    <w:rsid w:val="75F4DEBD"/>
    <w:rsid w:val="75FC7A61"/>
    <w:rsid w:val="767D799C"/>
    <w:rsid w:val="76BD1890"/>
    <w:rsid w:val="76C3E7E9"/>
    <w:rsid w:val="76DCEE49"/>
    <w:rsid w:val="76DDC6C1"/>
    <w:rsid w:val="76EE18A2"/>
    <w:rsid w:val="76EF7A1B"/>
    <w:rsid w:val="76FD1C54"/>
    <w:rsid w:val="76FDBC36"/>
    <w:rsid w:val="76FFB553"/>
    <w:rsid w:val="771EEF23"/>
    <w:rsid w:val="771FF9B8"/>
    <w:rsid w:val="773730E7"/>
    <w:rsid w:val="773EF1D3"/>
    <w:rsid w:val="776FE1C5"/>
    <w:rsid w:val="7777E39B"/>
    <w:rsid w:val="777FFDB1"/>
    <w:rsid w:val="779B359D"/>
    <w:rsid w:val="779D0A1D"/>
    <w:rsid w:val="77ABBE9C"/>
    <w:rsid w:val="77BF6EE0"/>
    <w:rsid w:val="77BFDB51"/>
    <w:rsid w:val="77D5AB91"/>
    <w:rsid w:val="77D7C4C2"/>
    <w:rsid w:val="77E9D4A3"/>
    <w:rsid w:val="77EB24CF"/>
    <w:rsid w:val="77ED576C"/>
    <w:rsid w:val="77EEC52B"/>
    <w:rsid w:val="77F771AE"/>
    <w:rsid w:val="77F78648"/>
    <w:rsid w:val="77FC592E"/>
    <w:rsid w:val="77FF5231"/>
    <w:rsid w:val="77FF829C"/>
    <w:rsid w:val="77FFAE5D"/>
    <w:rsid w:val="77FFC965"/>
    <w:rsid w:val="78BF8108"/>
    <w:rsid w:val="793F1BA5"/>
    <w:rsid w:val="795FDB59"/>
    <w:rsid w:val="7977BD4F"/>
    <w:rsid w:val="79A33EE2"/>
    <w:rsid w:val="79A95DD3"/>
    <w:rsid w:val="79AB5A2B"/>
    <w:rsid w:val="79AFF3CC"/>
    <w:rsid w:val="79B7FAEE"/>
    <w:rsid w:val="79BF71DF"/>
    <w:rsid w:val="79DF9E37"/>
    <w:rsid w:val="79F7BC2C"/>
    <w:rsid w:val="79F8E75E"/>
    <w:rsid w:val="79FD4703"/>
    <w:rsid w:val="79FEDBE3"/>
    <w:rsid w:val="7A3E10FE"/>
    <w:rsid w:val="7ABF94D5"/>
    <w:rsid w:val="7AF959C5"/>
    <w:rsid w:val="7AFFD4BA"/>
    <w:rsid w:val="7B079D43"/>
    <w:rsid w:val="7B170F43"/>
    <w:rsid w:val="7B1F2734"/>
    <w:rsid w:val="7B254011"/>
    <w:rsid w:val="7B2F7E68"/>
    <w:rsid w:val="7B6D5E84"/>
    <w:rsid w:val="7B7D519C"/>
    <w:rsid w:val="7B7FC139"/>
    <w:rsid w:val="7B8F93C0"/>
    <w:rsid w:val="7BB2D9BE"/>
    <w:rsid w:val="7BB93077"/>
    <w:rsid w:val="7BBE558D"/>
    <w:rsid w:val="7BBF20B2"/>
    <w:rsid w:val="7BBF5A10"/>
    <w:rsid w:val="7BC726C0"/>
    <w:rsid w:val="7BD7009F"/>
    <w:rsid w:val="7BDB326A"/>
    <w:rsid w:val="7BDF6669"/>
    <w:rsid w:val="7BDFA817"/>
    <w:rsid w:val="7BE981A4"/>
    <w:rsid w:val="7BEB70CC"/>
    <w:rsid w:val="7BFBC0B1"/>
    <w:rsid w:val="7BFD3106"/>
    <w:rsid w:val="7BFD39BA"/>
    <w:rsid w:val="7BFDE872"/>
    <w:rsid w:val="7BFDFB69"/>
    <w:rsid w:val="7BFF6D0F"/>
    <w:rsid w:val="7BFF8077"/>
    <w:rsid w:val="7C237942"/>
    <w:rsid w:val="7C5EB97F"/>
    <w:rsid w:val="7C6F538E"/>
    <w:rsid w:val="7C775A2C"/>
    <w:rsid w:val="7C9B926A"/>
    <w:rsid w:val="7CCF1984"/>
    <w:rsid w:val="7CDAF710"/>
    <w:rsid w:val="7CFB07A8"/>
    <w:rsid w:val="7CFF9F6B"/>
    <w:rsid w:val="7D3C4828"/>
    <w:rsid w:val="7D3FC390"/>
    <w:rsid w:val="7D6F9E3D"/>
    <w:rsid w:val="7D7F8700"/>
    <w:rsid w:val="7D89064A"/>
    <w:rsid w:val="7D9F1E61"/>
    <w:rsid w:val="7DAEFC1D"/>
    <w:rsid w:val="7DBB541F"/>
    <w:rsid w:val="7DBD0F67"/>
    <w:rsid w:val="7DBD2C75"/>
    <w:rsid w:val="7DBD69B1"/>
    <w:rsid w:val="7DBEEBCD"/>
    <w:rsid w:val="7DBFE114"/>
    <w:rsid w:val="7DC85873"/>
    <w:rsid w:val="7DD61106"/>
    <w:rsid w:val="7DDFB277"/>
    <w:rsid w:val="7DEE754C"/>
    <w:rsid w:val="7DF507EA"/>
    <w:rsid w:val="7DF92963"/>
    <w:rsid w:val="7DFB1D88"/>
    <w:rsid w:val="7DFC3A4F"/>
    <w:rsid w:val="7DFEF0B0"/>
    <w:rsid w:val="7DFF2537"/>
    <w:rsid w:val="7DFF31D3"/>
    <w:rsid w:val="7DFF5835"/>
    <w:rsid w:val="7DFF7BD0"/>
    <w:rsid w:val="7DFFA90E"/>
    <w:rsid w:val="7DFFB1B7"/>
    <w:rsid w:val="7DFFCEB8"/>
    <w:rsid w:val="7E4B4D99"/>
    <w:rsid w:val="7E4F2C3F"/>
    <w:rsid w:val="7E6DD634"/>
    <w:rsid w:val="7E736136"/>
    <w:rsid w:val="7E7E6F15"/>
    <w:rsid w:val="7E9B4ED4"/>
    <w:rsid w:val="7EB73341"/>
    <w:rsid w:val="7ECBF851"/>
    <w:rsid w:val="7EDE6321"/>
    <w:rsid w:val="7EDF346A"/>
    <w:rsid w:val="7EED292E"/>
    <w:rsid w:val="7EEF33D3"/>
    <w:rsid w:val="7EF17A8E"/>
    <w:rsid w:val="7EF566DD"/>
    <w:rsid w:val="7EF696BF"/>
    <w:rsid w:val="7EF7DB84"/>
    <w:rsid w:val="7EF94AC5"/>
    <w:rsid w:val="7EF970BA"/>
    <w:rsid w:val="7EFDB335"/>
    <w:rsid w:val="7EFE5F3E"/>
    <w:rsid w:val="7EFEAD98"/>
    <w:rsid w:val="7EFF2DC7"/>
    <w:rsid w:val="7F337B9A"/>
    <w:rsid w:val="7F3CC867"/>
    <w:rsid w:val="7F3FFC68"/>
    <w:rsid w:val="7F5AEE4C"/>
    <w:rsid w:val="7F5B6D97"/>
    <w:rsid w:val="7F645BBB"/>
    <w:rsid w:val="7F6B5163"/>
    <w:rsid w:val="7F707294"/>
    <w:rsid w:val="7F713B81"/>
    <w:rsid w:val="7F770FD8"/>
    <w:rsid w:val="7F7B748D"/>
    <w:rsid w:val="7F7D7910"/>
    <w:rsid w:val="7F9D057B"/>
    <w:rsid w:val="7F9D5A5E"/>
    <w:rsid w:val="7FA720B9"/>
    <w:rsid w:val="7FAC371A"/>
    <w:rsid w:val="7FAD04C1"/>
    <w:rsid w:val="7FB9A072"/>
    <w:rsid w:val="7FBA76E5"/>
    <w:rsid w:val="7FBB29B6"/>
    <w:rsid w:val="7FBB5862"/>
    <w:rsid w:val="7FBD8A02"/>
    <w:rsid w:val="7FBFA1BD"/>
    <w:rsid w:val="7FC6189E"/>
    <w:rsid w:val="7FCF6A47"/>
    <w:rsid w:val="7FCFA4A3"/>
    <w:rsid w:val="7FD53EEB"/>
    <w:rsid w:val="7FD78E5A"/>
    <w:rsid w:val="7FD7ADA7"/>
    <w:rsid w:val="7FD91F6F"/>
    <w:rsid w:val="7FDB7F61"/>
    <w:rsid w:val="7FDE1864"/>
    <w:rsid w:val="7FDFB376"/>
    <w:rsid w:val="7FDFCBF4"/>
    <w:rsid w:val="7FDFEEE4"/>
    <w:rsid w:val="7FE73EA6"/>
    <w:rsid w:val="7FEB3C54"/>
    <w:rsid w:val="7FEBF41B"/>
    <w:rsid w:val="7FEDB1EC"/>
    <w:rsid w:val="7FEE32F4"/>
    <w:rsid w:val="7FEE7433"/>
    <w:rsid w:val="7FEFB978"/>
    <w:rsid w:val="7FF18DC3"/>
    <w:rsid w:val="7FF1C0C7"/>
    <w:rsid w:val="7FF43B76"/>
    <w:rsid w:val="7FF66C82"/>
    <w:rsid w:val="7FF71CCF"/>
    <w:rsid w:val="7FF748AE"/>
    <w:rsid w:val="7FF78BF2"/>
    <w:rsid w:val="7FF7C0CA"/>
    <w:rsid w:val="7FF7DF78"/>
    <w:rsid w:val="7FF8D0AC"/>
    <w:rsid w:val="7FFB2B1F"/>
    <w:rsid w:val="7FFC6BB1"/>
    <w:rsid w:val="7FFCB9A5"/>
    <w:rsid w:val="7FFD5CAB"/>
    <w:rsid w:val="7FFDB716"/>
    <w:rsid w:val="7FFE3502"/>
    <w:rsid w:val="7FFE5CD8"/>
    <w:rsid w:val="7FFEE69C"/>
    <w:rsid w:val="7FFEE6A8"/>
    <w:rsid w:val="7FFF0128"/>
    <w:rsid w:val="7FFF9158"/>
    <w:rsid w:val="7FFFACBA"/>
    <w:rsid w:val="7FFFA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D3D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591"/>
    <w:pPr>
      <w:spacing w:after="240"/>
      <w:jc w:val="both"/>
    </w:pPr>
    <w:rPr>
      <w:sz w:val="24"/>
      <w:szCs w:val="24"/>
      <w:lang w:val="en-GB" w:bidi="ar-AE"/>
    </w:rPr>
  </w:style>
  <w:style w:type="paragraph" w:styleId="Heading1">
    <w:name w:val="heading 1"/>
    <w:basedOn w:val="Normal"/>
    <w:next w:val="Normal"/>
    <w:link w:val="Heading1Char"/>
    <w:qFormat/>
    <w:pPr>
      <w:outlineLvl w:val="0"/>
    </w:pPr>
    <w:rPr>
      <w:rFonts w:cs="Simplified Arabic"/>
    </w:rPr>
  </w:style>
  <w:style w:type="paragraph" w:styleId="Heading2">
    <w:name w:val="heading 2"/>
    <w:basedOn w:val="Normal"/>
    <w:next w:val="BodyText"/>
    <w:link w:val="Heading2Char"/>
    <w:qFormat/>
    <w:pPr>
      <w:outlineLvl w:val="1"/>
    </w:pPr>
    <w:rPr>
      <w:rFonts w:cs="Simplified Arabic"/>
    </w:rPr>
  </w:style>
  <w:style w:type="paragraph" w:styleId="Heading3">
    <w:name w:val="heading 3"/>
    <w:basedOn w:val="Heading2"/>
    <w:next w:val="BodyText"/>
    <w:link w:val="Heading3Char"/>
    <w:qFormat/>
    <w:pPr>
      <w:outlineLvl w:val="2"/>
    </w:pPr>
  </w:style>
  <w:style w:type="paragraph" w:styleId="Heading4">
    <w:name w:val="heading 4"/>
    <w:basedOn w:val="Normal"/>
    <w:next w:val="BodyText"/>
    <w:link w:val="Heading4Char"/>
    <w:qFormat/>
    <w:pPr>
      <w:outlineLvl w:val="3"/>
    </w:pPr>
    <w:rPr>
      <w:rFonts w:cs="Simplified Arabic"/>
    </w:rPr>
  </w:style>
  <w:style w:type="paragraph" w:styleId="Heading5">
    <w:name w:val="heading 5"/>
    <w:basedOn w:val="Normal"/>
    <w:next w:val="BodyText"/>
    <w:link w:val="Heading5Char"/>
    <w:qFormat/>
    <w:pPr>
      <w:outlineLvl w:val="4"/>
    </w:pPr>
    <w:rPr>
      <w:rFonts w:cs="Simplified Arabic"/>
    </w:rPr>
  </w:style>
  <w:style w:type="paragraph" w:styleId="Heading6">
    <w:name w:val="heading 6"/>
    <w:basedOn w:val="Normal"/>
    <w:next w:val="BodyText"/>
    <w:link w:val="Heading6Char"/>
    <w:qFormat/>
    <w:pPr>
      <w:outlineLvl w:val="5"/>
    </w:pPr>
    <w:rPr>
      <w:rFonts w:cs="Simplified Arabic"/>
    </w:rPr>
  </w:style>
  <w:style w:type="paragraph" w:styleId="Heading7">
    <w:name w:val="heading 7"/>
    <w:basedOn w:val="Normal"/>
    <w:next w:val="BodyText"/>
    <w:link w:val="Heading7Char"/>
    <w:qFormat/>
    <w:pPr>
      <w:outlineLvl w:val="6"/>
    </w:pPr>
    <w:rPr>
      <w:rFonts w:cs="Simplified Arabic"/>
    </w:rPr>
  </w:style>
  <w:style w:type="paragraph" w:styleId="Heading8">
    <w:name w:val="heading 8"/>
    <w:basedOn w:val="Normal"/>
    <w:next w:val="BodyText"/>
    <w:link w:val="Heading8Char"/>
    <w:qFormat/>
    <w:pPr>
      <w:outlineLvl w:val="7"/>
    </w:pPr>
    <w:rPr>
      <w:rFonts w:cs="Simplified Arabic"/>
    </w:rPr>
  </w:style>
  <w:style w:type="paragraph" w:styleId="Heading9">
    <w:name w:val="heading 9"/>
    <w:basedOn w:val="Normal"/>
    <w:next w:val="BodyText"/>
    <w:link w:val="Heading9Char"/>
    <w:qFormat/>
    <w:pPr>
      <w:outlineLvl w:val="8"/>
    </w:pPr>
    <w:rPr>
      <w:rFonts w:cs="Simplified Arab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val="en-GB" w:bidi="ar-AE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val="en-GB" w:eastAsia="zh-CN" w:bidi="ar-AE"/>
    </w:rPr>
  </w:style>
  <w:style w:type="character" w:customStyle="1" w:styleId="Heading1Char">
    <w:name w:val="Heading 1 Char"/>
    <w:link w:val="Heading1"/>
    <w:rPr>
      <w:sz w:val="24"/>
      <w:szCs w:val="24"/>
      <w:lang w:bidi="ar-AE"/>
    </w:rPr>
  </w:style>
  <w:style w:type="character" w:customStyle="1" w:styleId="Heading2Char">
    <w:name w:val="Heading 2 Char"/>
    <w:link w:val="Heading2"/>
    <w:rPr>
      <w:sz w:val="24"/>
      <w:szCs w:val="24"/>
      <w:lang w:bidi="ar-AE"/>
    </w:rPr>
  </w:style>
  <w:style w:type="paragraph" w:styleId="BodyText">
    <w:name w:val="Body Text"/>
    <w:basedOn w:val="Normal"/>
    <w:link w:val="BodyTextChar"/>
    <w:rPr>
      <w:rFonts w:cs="Simplified Arabic"/>
      <w:lang w:eastAsia="en-GB"/>
    </w:rPr>
  </w:style>
  <w:style w:type="character" w:customStyle="1" w:styleId="BodyTextChar">
    <w:name w:val="Body Text Char"/>
    <w:link w:val="BodyText"/>
    <w:rPr>
      <w:sz w:val="24"/>
      <w:szCs w:val="24"/>
      <w:lang w:eastAsia="en-GB" w:bidi="ar-AE"/>
    </w:rPr>
  </w:style>
  <w:style w:type="character" w:customStyle="1" w:styleId="Heading3Char">
    <w:name w:val="Heading 3 Char"/>
    <w:link w:val="Heading3"/>
    <w:rPr>
      <w:sz w:val="24"/>
      <w:szCs w:val="24"/>
      <w:lang w:bidi="ar-AE"/>
    </w:rPr>
  </w:style>
  <w:style w:type="character" w:customStyle="1" w:styleId="Heading4Char">
    <w:name w:val="Heading 4 Char"/>
    <w:link w:val="Heading4"/>
    <w:rPr>
      <w:sz w:val="24"/>
      <w:szCs w:val="24"/>
      <w:lang w:bidi="ar-AE"/>
    </w:rPr>
  </w:style>
  <w:style w:type="character" w:customStyle="1" w:styleId="Heading5Char">
    <w:name w:val="Heading 5 Char"/>
    <w:link w:val="Heading5"/>
    <w:rPr>
      <w:sz w:val="24"/>
      <w:szCs w:val="24"/>
      <w:lang w:bidi="ar-AE"/>
    </w:rPr>
  </w:style>
  <w:style w:type="character" w:customStyle="1" w:styleId="Heading6Char">
    <w:name w:val="Heading 6 Char"/>
    <w:link w:val="Heading6"/>
    <w:rPr>
      <w:sz w:val="24"/>
      <w:szCs w:val="24"/>
      <w:lang w:bidi="ar-AE"/>
    </w:rPr>
  </w:style>
  <w:style w:type="character" w:customStyle="1" w:styleId="Heading7Char">
    <w:name w:val="Heading 7 Char"/>
    <w:link w:val="Heading7"/>
    <w:rPr>
      <w:sz w:val="24"/>
      <w:szCs w:val="24"/>
      <w:lang w:bidi="ar-AE"/>
    </w:rPr>
  </w:style>
  <w:style w:type="character" w:customStyle="1" w:styleId="Heading8Char">
    <w:name w:val="Heading 8 Char"/>
    <w:link w:val="Heading8"/>
    <w:rPr>
      <w:sz w:val="24"/>
      <w:szCs w:val="24"/>
      <w:lang w:bidi="ar-AE"/>
    </w:rPr>
  </w:style>
  <w:style w:type="character" w:customStyle="1" w:styleId="Heading9Char">
    <w:name w:val="Heading 9 Char"/>
    <w:link w:val="Heading9"/>
    <w:rPr>
      <w:sz w:val="24"/>
      <w:szCs w:val="24"/>
      <w:lang w:bidi="ar-AE"/>
    </w:rPr>
  </w:style>
  <w:style w:type="paragraph" w:styleId="List3">
    <w:name w:val="List 3"/>
    <w:basedOn w:val="Normal"/>
    <w:pPr>
      <w:ind w:left="1080" w:hanging="360"/>
      <w:contextualSpacing/>
    </w:pPr>
  </w:style>
  <w:style w:type="paragraph" w:styleId="TOC7">
    <w:name w:val="toc 7"/>
    <w:basedOn w:val="Normal"/>
    <w:next w:val="Normal"/>
    <w:pPr>
      <w:ind w:left="1440"/>
    </w:p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NoteHeading">
    <w:name w:val="Note Heading"/>
    <w:basedOn w:val="Normal"/>
    <w:next w:val="Normal"/>
    <w:link w:val="NoteHeadingChar"/>
    <w:rPr>
      <w:rFonts w:cs="Simplified Arabic"/>
    </w:rPr>
  </w:style>
  <w:style w:type="character" w:customStyle="1" w:styleId="NoteHeadingChar">
    <w:name w:val="Note Heading Char"/>
    <w:link w:val="NoteHeading"/>
    <w:rPr>
      <w:sz w:val="24"/>
      <w:szCs w:val="24"/>
      <w:lang w:bidi="ar-AE"/>
    </w:rPr>
  </w:style>
  <w:style w:type="paragraph" w:styleId="Index8">
    <w:name w:val="index 8"/>
    <w:basedOn w:val="Normal"/>
    <w:next w:val="Normal"/>
    <w:pPr>
      <w:ind w:left="1920" w:hanging="240"/>
    </w:pPr>
  </w:style>
  <w:style w:type="paragraph" w:styleId="E-mailSignature">
    <w:name w:val="E-mail Signature"/>
    <w:basedOn w:val="Normal"/>
    <w:link w:val="E-mailSignatureChar"/>
    <w:rPr>
      <w:rFonts w:cs="Simplified Arabic"/>
    </w:rPr>
  </w:style>
  <w:style w:type="character" w:customStyle="1" w:styleId="E-mailSignatureChar">
    <w:name w:val="E-mail Signature Char"/>
    <w:link w:val="E-mailSignature"/>
    <w:rPr>
      <w:sz w:val="24"/>
      <w:szCs w:val="24"/>
      <w:lang w:bidi="ar-AE"/>
    </w:rPr>
  </w:style>
  <w:style w:type="paragraph" w:styleId="NormalIndent">
    <w:name w:val="Normal Indent"/>
    <w:basedOn w:val="Normal"/>
    <w:pPr>
      <w:ind w:left="720"/>
    </w:p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Index5">
    <w:name w:val="index 5"/>
    <w:basedOn w:val="Normal"/>
    <w:next w:val="Normal"/>
    <w:pPr>
      <w:ind w:left="1200" w:hanging="24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  <w:lang w:bidi="ar-AE"/>
    </w:rPr>
  </w:style>
  <w:style w:type="paragraph" w:styleId="TOAHeading">
    <w:name w:val="toa heading"/>
    <w:basedOn w:val="Normal"/>
    <w:next w:val="Normal"/>
    <w:pPr>
      <w:spacing w:before="120"/>
    </w:pPr>
    <w:rPr>
      <w:rFonts w:cs="Simplified Arabic"/>
      <w:b/>
      <w:bCs/>
    </w:rPr>
  </w:style>
  <w:style w:type="paragraph" w:styleId="CommentText">
    <w:name w:val="annotation text"/>
    <w:basedOn w:val="Normal"/>
    <w:link w:val="CommentTextChar"/>
    <w:pPr>
      <w:spacing w:after="120"/>
    </w:pPr>
    <w:rPr>
      <w:rFonts w:cs="Simplified Arabic"/>
      <w:sz w:val="20"/>
      <w:szCs w:val="20"/>
    </w:rPr>
  </w:style>
  <w:style w:type="character" w:customStyle="1" w:styleId="CommentTextChar">
    <w:name w:val="Comment Text Char"/>
    <w:link w:val="CommentText"/>
    <w:rPr>
      <w:lang w:bidi="ar-AE"/>
    </w:rPr>
  </w:style>
  <w:style w:type="paragraph" w:styleId="Index6">
    <w:name w:val="index 6"/>
    <w:basedOn w:val="Normal"/>
    <w:next w:val="Normal"/>
    <w:pPr>
      <w:ind w:left="1440" w:hanging="240"/>
    </w:pPr>
  </w:style>
  <w:style w:type="paragraph" w:styleId="Salutation">
    <w:name w:val="Salutation"/>
    <w:basedOn w:val="Normal"/>
    <w:next w:val="Normal"/>
    <w:link w:val="SalutationChar"/>
    <w:rPr>
      <w:rFonts w:cs="Simplified Arabic"/>
    </w:rPr>
  </w:style>
  <w:style w:type="character" w:customStyle="1" w:styleId="SalutationChar">
    <w:name w:val="Salutation Char"/>
    <w:link w:val="Salutation"/>
    <w:rPr>
      <w:sz w:val="24"/>
      <w:szCs w:val="24"/>
      <w:lang w:bidi="ar-AE"/>
    </w:rPr>
  </w:style>
  <w:style w:type="paragraph" w:styleId="BodyText3">
    <w:name w:val="Body Text 3"/>
    <w:basedOn w:val="Normal"/>
    <w:link w:val="BodyText3Char"/>
    <w:pPr>
      <w:ind w:left="2160"/>
    </w:pPr>
    <w:rPr>
      <w:rFonts w:cs="Simplified Arabic"/>
      <w:lang w:eastAsia="en-GB"/>
    </w:rPr>
  </w:style>
  <w:style w:type="character" w:customStyle="1" w:styleId="BodyText3Char">
    <w:name w:val="Body Text 3 Char"/>
    <w:link w:val="BodyText3"/>
    <w:rPr>
      <w:sz w:val="24"/>
      <w:szCs w:val="24"/>
      <w:lang w:eastAsia="en-GB" w:bidi="ar-AE"/>
    </w:rPr>
  </w:style>
  <w:style w:type="paragraph" w:styleId="Closing">
    <w:name w:val="Closing"/>
    <w:basedOn w:val="Normal"/>
    <w:link w:val="ClosingChar"/>
    <w:pPr>
      <w:ind w:left="4320"/>
    </w:pPr>
    <w:rPr>
      <w:rFonts w:cs="Simplified Arabic"/>
    </w:rPr>
  </w:style>
  <w:style w:type="character" w:customStyle="1" w:styleId="ClosingChar">
    <w:name w:val="Closing Char"/>
    <w:link w:val="Closing"/>
    <w:rPr>
      <w:sz w:val="24"/>
      <w:szCs w:val="24"/>
      <w:lang w:bidi="ar-AE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cs="Simplified Arabic"/>
    </w:rPr>
  </w:style>
  <w:style w:type="character" w:customStyle="1" w:styleId="BodyTextIndentChar">
    <w:name w:val="Body Text Indent Char"/>
    <w:link w:val="BodyTextIndent"/>
    <w:rPr>
      <w:sz w:val="24"/>
      <w:szCs w:val="24"/>
      <w:lang w:bidi="ar-AE"/>
    </w:rPr>
  </w:style>
  <w:style w:type="paragraph" w:styleId="List2">
    <w:name w:val="List 2"/>
    <w:basedOn w:val="Normal"/>
    <w:pPr>
      <w:ind w:left="720" w:hanging="360"/>
      <w:contextualSpacing/>
    </w:pPr>
  </w:style>
  <w:style w:type="paragraph" w:styleId="ListContinue">
    <w:name w:val="List Continue"/>
    <w:basedOn w:val="Normal"/>
    <w:pPr>
      <w:spacing w:after="120"/>
      <w:ind w:left="360"/>
      <w:contextualSpacing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rPr>
      <w:rFonts w:cs="Simplified Arabic"/>
      <w:i/>
      <w:iCs/>
    </w:rPr>
  </w:style>
  <w:style w:type="character" w:customStyle="1" w:styleId="HTMLAddressChar">
    <w:name w:val="HTML Address Char"/>
    <w:link w:val="HTMLAddress"/>
    <w:rPr>
      <w:i/>
      <w:iCs/>
      <w:sz w:val="24"/>
      <w:szCs w:val="24"/>
      <w:lang w:bidi="ar-AE"/>
    </w:rPr>
  </w:style>
  <w:style w:type="paragraph" w:styleId="Index4">
    <w:name w:val="index 4"/>
    <w:basedOn w:val="Normal"/>
    <w:next w:val="Normal"/>
    <w:pPr>
      <w:ind w:left="960" w:hanging="240"/>
    </w:pPr>
  </w:style>
  <w:style w:type="paragraph" w:styleId="TOC5">
    <w:name w:val="toc 5"/>
    <w:basedOn w:val="Normal"/>
    <w:next w:val="Normal"/>
    <w:pPr>
      <w:ind w:left="960"/>
    </w:pPr>
  </w:style>
  <w:style w:type="paragraph" w:styleId="TOC3">
    <w:name w:val="toc 3"/>
    <w:basedOn w:val="Normal"/>
    <w:next w:val="Normal"/>
    <w:pPr>
      <w:ind w:left="480"/>
    </w:p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bidi="ar-AE"/>
    </w:rPr>
  </w:style>
  <w:style w:type="paragraph" w:styleId="TOC8">
    <w:name w:val="toc 8"/>
    <w:basedOn w:val="Normal"/>
    <w:next w:val="Normal"/>
    <w:pPr>
      <w:ind w:left="1680"/>
    </w:pPr>
  </w:style>
  <w:style w:type="paragraph" w:styleId="Index3">
    <w:name w:val="index 3"/>
    <w:basedOn w:val="Normal"/>
    <w:next w:val="Normal"/>
    <w:pPr>
      <w:ind w:left="720" w:hanging="240"/>
    </w:pPr>
  </w:style>
  <w:style w:type="paragraph" w:styleId="Date">
    <w:name w:val="Date"/>
    <w:basedOn w:val="Normal"/>
    <w:next w:val="Normal"/>
    <w:link w:val="DateChar"/>
    <w:rPr>
      <w:rFonts w:cs="Simplified Arabic"/>
    </w:rPr>
  </w:style>
  <w:style w:type="character" w:customStyle="1" w:styleId="DateChar">
    <w:name w:val="Date Char"/>
    <w:link w:val="Date"/>
    <w:rPr>
      <w:sz w:val="24"/>
      <w:szCs w:val="24"/>
      <w:lang w:bidi="ar-AE"/>
    </w:rPr>
  </w:style>
  <w:style w:type="paragraph" w:styleId="BodyTextIndent2">
    <w:name w:val="Body Text Indent 2"/>
    <w:basedOn w:val="Normal"/>
    <w:link w:val="BodyTextIndent2Char"/>
    <w:pPr>
      <w:spacing w:after="120"/>
      <w:ind w:left="360"/>
    </w:pPr>
    <w:rPr>
      <w:rFonts w:cs="Simplified Arabic"/>
    </w:rPr>
  </w:style>
  <w:style w:type="character" w:customStyle="1" w:styleId="BodyTextIndent2Char">
    <w:name w:val="Body Text Indent 2 Char"/>
    <w:link w:val="BodyTextIndent2"/>
    <w:rPr>
      <w:sz w:val="24"/>
      <w:szCs w:val="24"/>
      <w:lang w:bidi="ar-AE"/>
    </w:rPr>
  </w:style>
  <w:style w:type="paragraph" w:styleId="EndnoteText">
    <w:name w:val="endnote text"/>
    <w:basedOn w:val="Normal"/>
    <w:next w:val="Normal"/>
    <w:link w:val="EndnoteTextChar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EndnoteTextChar">
    <w:name w:val="Endnote Text Char"/>
    <w:link w:val="EndnoteText"/>
    <w:rPr>
      <w:lang w:bidi="ar-AE"/>
    </w:rPr>
  </w:style>
  <w:style w:type="paragraph" w:styleId="ListContinue5">
    <w:name w:val="List Continue 5"/>
    <w:basedOn w:val="Normal"/>
    <w:pPr>
      <w:spacing w:after="120"/>
      <w:ind w:left="1800"/>
      <w:contextualSpacing/>
    </w:pPr>
  </w:style>
  <w:style w:type="paragraph" w:styleId="BalloonText">
    <w:name w:val="Balloon Text"/>
    <w:basedOn w:val="Normal"/>
    <w:link w:val="BalloonTextChar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bidi="ar-AE"/>
    </w:rPr>
  </w:style>
  <w:style w:type="paragraph" w:styleId="Footer">
    <w:name w:val="footer"/>
    <w:link w:val="FooterChar"/>
    <w:rPr>
      <w:sz w:val="16"/>
      <w:szCs w:val="16"/>
      <w:lang w:val="en-GB" w:bidi="he-IL"/>
    </w:rPr>
  </w:style>
  <w:style w:type="character" w:customStyle="1" w:styleId="FooterChar">
    <w:name w:val="Footer Char"/>
    <w:link w:val="Footer"/>
    <w:rPr>
      <w:sz w:val="16"/>
      <w:szCs w:val="16"/>
      <w:lang w:val="en-GB" w:eastAsia="zh-CN" w:bidi="he-IL"/>
    </w:rPr>
  </w:style>
  <w:style w:type="paragraph" w:styleId="EnvelopeReturn">
    <w:name w:val="envelope return"/>
    <w:basedOn w:val="Normal"/>
    <w:rPr>
      <w:rFonts w:cs="Simplified Arabic"/>
      <w:sz w:val="20"/>
      <w:szCs w:val="20"/>
    </w:rPr>
  </w:style>
  <w:style w:type="paragraph" w:styleId="Header">
    <w:name w:val="header"/>
    <w:link w:val="HeaderChar"/>
    <w:uiPriority w:val="99"/>
    <w:pPr>
      <w:jc w:val="both"/>
    </w:pPr>
    <w:rPr>
      <w:sz w:val="24"/>
      <w:szCs w:val="24"/>
      <w:lang w:val="en-GB" w:bidi="he-IL"/>
    </w:rPr>
  </w:style>
  <w:style w:type="character" w:customStyle="1" w:styleId="HeaderChar">
    <w:name w:val="Header Char"/>
    <w:link w:val="Header"/>
    <w:uiPriority w:val="99"/>
    <w:rPr>
      <w:sz w:val="24"/>
      <w:szCs w:val="24"/>
      <w:lang w:val="en-GB" w:eastAsia="zh-CN" w:bidi="he-IL"/>
    </w:rPr>
  </w:style>
  <w:style w:type="paragraph" w:styleId="Signature">
    <w:name w:val="Signature"/>
    <w:basedOn w:val="Normal"/>
    <w:link w:val="SignatureChar"/>
    <w:pPr>
      <w:ind w:left="4320"/>
    </w:pPr>
    <w:rPr>
      <w:rFonts w:cs="Simplified Arabic"/>
    </w:rPr>
  </w:style>
  <w:style w:type="character" w:customStyle="1" w:styleId="SignatureChar">
    <w:name w:val="Signature Char"/>
    <w:link w:val="Signature"/>
    <w:rPr>
      <w:sz w:val="24"/>
      <w:szCs w:val="24"/>
      <w:lang w:bidi="ar-AE"/>
    </w:rPr>
  </w:style>
  <w:style w:type="paragraph" w:styleId="TOC1">
    <w:name w:val="toc 1"/>
    <w:basedOn w:val="Normal"/>
    <w:next w:val="BodyText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ListContinue4">
    <w:name w:val="List Continue 4"/>
    <w:basedOn w:val="Normal"/>
    <w:pPr>
      <w:spacing w:after="120"/>
      <w:ind w:left="1440"/>
      <w:contextualSpacing/>
    </w:pPr>
  </w:style>
  <w:style w:type="paragraph" w:styleId="TOC4">
    <w:name w:val="toc 4"/>
    <w:basedOn w:val="Normal"/>
    <w:next w:val="Normal"/>
    <w:pPr>
      <w:ind w:left="720"/>
    </w:pPr>
  </w:style>
  <w:style w:type="paragraph" w:styleId="IndexHeading">
    <w:name w:val="index heading"/>
    <w:basedOn w:val="Normal"/>
    <w:next w:val="Normal"/>
    <w:rPr>
      <w:b/>
      <w:bCs/>
    </w:rPr>
  </w:style>
  <w:style w:type="paragraph" w:styleId="Subtitle">
    <w:name w:val="Subtitle"/>
    <w:basedOn w:val="Normal"/>
    <w:next w:val="BodyText"/>
    <w:link w:val="SubtitleChar"/>
    <w:qFormat/>
    <w:pPr>
      <w:jc w:val="center"/>
    </w:pPr>
    <w:rPr>
      <w:rFonts w:cs="Simplified Arabic"/>
    </w:rPr>
  </w:style>
  <w:style w:type="character" w:customStyle="1" w:styleId="SubtitleChar">
    <w:name w:val="Subtitle Char"/>
    <w:link w:val="Subtitle"/>
    <w:rPr>
      <w:sz w:val="24"/>
      <w:szCs w:val="24"/>
      <w:lang w:bidi="ar-AE"/>
    </w:rPr>
  </w:style>
  <w:style w:type="paragraph" w:styleId="List">
    <w:name w:val="List"/>
    <w:basedOn w:val="Normal"/>
    <w:pPr>
      <w:ind w:left="360" w:hanging="360"/>
      <w:contextualSpacing/>
    </w:pPr>
  </w:style>
  <w:style w:type="paragraph" w:styleId="FootnoteText">
    <w:name w:val="footnote text"/>
    <w:basedOn w:val="Normal"/>
    <w:next w:val="Normal"/>
    <w:link w:val="FootnoteTextChar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FootnoteTextChar">
    <w:name w:val="Footnote Text Char"/>
    <w:link w:val="FootnoteText"/>
    <w:rPr>
      <w:lang w:bidi="ar-AE"/>
    </w:rPr>
  </w:style>
  <w:style w:type="paragraph" w:styleId="TOC6">
    <w:name w:val="toc 6"/>
    <w:basedOn w:val="Normal"/>
    <w:next w:val="Normal"/>
    <w:pPr>
      <w:ind w:left="1200"/>
    </w:pPr>
  </w:style>
  <w:style w:type="paragraph" w:styleId="List5">
    <w:name w:val="List 5"/>
    <w:basedOn w:val="Normal"/>
    <w:pPr>
      <w:ind w:left="1800" w:hanging="360"/>
      <w:contextualSpacing/>
    </w:pPr>
  </w:style>
  <w:style w:type="paragraph" w:styleId="BodyTextIndent3">
    <w:name w:val="Body Text Indent 3"/>
    <w:basedOn w:val="Normal"/>
    <w:link w:val="BodyTextIndent3Char"/>
    <w:pPr>
      <w:spacing w:after="120"/>
      <w:ind w:left="360"/>
    </w:pPr>
    <w:rPr>
      <w:rFonts w:cs="Simplified Arabic"/>
      <w:sz w:val="16"/>
      <w:szCs w:val="16"/>
    </w:rPr>
  </w:style>
  <w:style w:type="character" w:customStyle="1" w:styleId="BodyTextIndent3Char">
    <w:name w:val="Body Text Indent 3 Char"/>
    <w:link w:val="BodyTextIndent3"/>
    <w:rPr>
      <w:sz w:val="16"/>
      <w:szCs w:val="16"/>
      <w:lang w:bidi="ar-AE"/>
    </w:rPr>
  </w:style>
  <w:style w:type="paragraph" w:styleId="Index7">
    <w:name w:val="index 7"/>
    <w:basedOn w:val="Normal"/>
    <w:next w:val="Normal"/>
    <w:pPr>
      <w:ind w:left="1680" w:hanging="240"/>
    </w:pPr>
  </w:style>
  <w:style w:type="paragraph" w:styleId="Index9">
    <w:name w:val="index 9"/>
    <w:basedOn w:val="Normal"/>
    <w:next w:val="Normal"/>
    <w:pPr>
      <w:ind w:left="2160" w:hanging="240"/>
    </w:pPr>
  </w:style>
  <w:style w:type="paragraph" w:styleId="TableofFigures">
    <w:name w:val="table of figures"/>
    <w:basedOn w:val="Normal"/>
    <w:next w:val="Normal"/>
  </w:style>
  <w:style w:type="paragraph" w:styleId="TOC2">
    <w:name w:val="toc 2"/>
    <w:basedOn w:val="Normal"/>
    <w:next w:val="BodyText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styleId="TOC9">
    <w:name w:val="toc 9"/>
    <w:basedOn w:val="Normal"/>
    <w:next w:val="Normal"/>
    <w:pPr>
      <w:ind w:left="1920"/>
    </w:pPr>
  </w:style>
  <w:style w:type="paragraph" w:styleId="BodyText2">
    <w:name w:val="Body Text 2"/>
    <w:basedOn w:val="Normal"/>
    <w:link w:val="BodyText2Char"/>
    <w:pPr>
      <w:ind w:left="1440"/>
    </w:pPr>
    <w:rPr>
      <w:rFonts w:cs="Simplified Arabic"/>
      <w:lang w:eastAsia="en-GB"/>
    </w:rPr>
  </w:style>
  <w:style w:type="character" w:customStyle="1" w:styleId="BodyText2Char">
    <w:name w:val="Body Text 2 Char"/>
    <w:link w:val="BodyText2"/>
    <w:rPr>
      <w:sz w:val="24"/>
      <w:szCs w:val="24"/>
      <w:lang w:eastAsia="en-GB" w:bidi="ar-AE"/>
    </w:rPr>
  </w:style>
  <w:style w:type="paragraph" w:styleId="List4">
    <w:name w:val="List 4"/>
    <w:basedOn w:val="Normal"/>
    <w:pPr>
      <w:ind w:left="1440" w:hanging="360"/>
      <w:contextualSpacing/>
    </w:pPr>
  </w:style>
  <w:style w:type="paragraph" w:styleId="ListContinue2">
    <w:name w:val="List Continue 2"/>
    <w:basedOn w:val="Normal"/>
    <w:pPr>
      <w:spacing w:after="120"/>
      <w:ind w:left="720"/>
      <w:contextualSpacing/>
    </w:p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MessageHeaderChar">
    <w:name w:val="Message Header Char"/>
    <w:link w:val="MessageHeader"/>
    <w:rPr>
      <w:rFonts w:ascii="Times New Roman" w:eastAsia="SimSun" w:hAnsi="Times New Roman" w:cs="Simplified Arabic"/>
      <w:sz w:val="24"/>
      <w:szCs w:val="24"/>
      <w:shd w:val="pct20" w:color="auto" w:fill="auto"/>
      <w:lang w:bidi="ar-AE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bidi="ar-AE"/>
    </w:rPr>
  </w:style>
  <w:style w:type="paragraph" w:styleId="NormalWeb">
    <w:name w:val="Normal (Web)"/>
    <w:basedOn w:val="Normal"/>
  </w:style>
  <w:style w:type="paragraph" w:styleId="ListContinue3">
    <w:name w:val="List Continue 3"/>
    <w:basedOn w:val="Normal"/>
    <w:pPr>
      <w:spacing w:after="120"/>
      <w:ind w:left="1080"/>
      <w:contextualSpacing/>
    </w:pPr>
  </w:style>
  <w:style w:type="paragraph" w:styleId="Index1">
    <w:name w:val="index 1"/>
    <w:basedOn w:val="Normal"/>
    <w:next w:val="Normal"/>
    <w:pPr>
      <w:ind w:left="240" w:hanging="240"/>
    </w:pPr>
  </w:style>
  <w:style w:type="paragraph" w:styleId="Index2">
    <w:name w:val="index 2"/>
    <w:basedOn w:val="Normal"/>
    <w:next w:val="Normal"/>
    <w:pPr>
      <w:ind w:left="480" w:hanging="240"/>
    </w:pPr>
  </w:style>
  <w:style w:type="paragraph" w:styleId="Title">
    <w:name w:val="Title"/>
    <w:basedOn w:val="Normal"/>
    <w:next w:val="BodyText"/>
    <w:link w:val="TitleChar"/>
    <w:qFormat/>
    <w:pPr>
      <w:jc w:val="center"/>
    </w:pPr>
    <w:rPr>
      <w:rFonts w:cs="Simplified Arabic"/>
      <w:b/>
      <w:bCs/>
    </w:rPr>
  </w:style>
  <w:style w:type="character" w:customStyle="1" w:styleId="TitleChar">
    <w:name w:val="Title Char"/>
    <w:link w:val="Title"/>
    <w:rPr>
      <w:b/>
      <w:bCs/>
      <w:sz w:val="24"/>
      <w:szCs w:val="24"/>
      <w:lang w:bidi="ar-AE"/>
    </w:rPr>
  </w:style>
  <w:style w:type="paragraph" w:styleId="CommentSubject">
    <w:name w:val="annotation subject"/>
    <w:basedOn w:val="CommentText"/>
    <w:next w:val="CommentText"/>
    <w:link w:val="CommentSubjectChar"/>
    <w:pPr>
      <w:spacing w:after="240"/>
    </w:pPr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bidi="ar-AE"/>
    </w:rPr>
  </w:style>
  <w:style w:type="paragraph" w:styleId="BodyTextFirstIndent">
    <w:name w:val="Body Text First Indent"/>
    <w:basedOn w:val="BodyText"/>
    <w:link w:val="BodyTextFirstIndentChar"/>
    <w:pPr>
      <w:ind w:firstLine="720"/>
    </w:pPr>
  </w:style>
  <w:style w:type="character" w:customStyle="1" w:styleId="BodyTextFirstIndentChar">
    <w:name w:val="Body Text First Indent Char"/>
    <w:link w:val="BodyTextFirstIndent"/>
    <w:rPr>
      <w:sz w:val="24"/>
      <w:szCs w:val="24"/>
      <w:lang w:eastAsia="en-GB" w:bidi="ar-AE"/>
    </w:rPr>
  </w:style>
  <w:style w:type="paragraph" w:styleId="BodyTextFirstIndent2">
    <w:name w:val="Body Text First Indent 2"/>
    <w:basedOn w:val="BodyTextFirstIndent"/>
    <w:link w:val="BodyTextFirstIndent2Char"/>
    <w:pPr>
      <w:ind w:firstLine="1440"/>
    </w:pPr>
  </w:style>
  <w:style w:type="character" w:customStyle="1" w:styleId="BodyTextFirstIndent2Char">
    <w:name w:val="Body Text First Indent 2 Char"/>
    <w:link w:val="BodyTextFirstIndent2"/>
    <w:rPr>
      <w:sz w:val="24"/>
      <w:szCs w:val="24"/>
      <w:lang w:eastAsia="en-GB" w:bidi="ar-AE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Theme">
    <w:name w:val="Table Theme"/>
    <w:basedOn w:val="TableNormal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orful1">
    <w:name w:val="Table Colorful 1"/>
    <w:basedOn w:val="TableNormal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sz="36" w:space="0" w:color="000000"/>
          <w:bottom w:val="nil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leElegant">
    <w:name w:val="Table Elegant"/>
    <w:basedOn w:val="TableNormal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1">
    <w:name w:val="Table Classic 1"/>
    <w:basedOn w:val="TableNormal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1">
    <w:name w:val="Table Simple 1"/>
    <w:basedOn w:val="TableNormal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spacing w:after="240"/>
      <w:jc w:val="both"/>
    </w:pPr>
    <w:tblPr/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1">
    <w:name w:val="Table 3D effects 1"/>
    <w:basedOn w:val="TableNormal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6">
    <w:name w:val="Table List 6"/>
    <w:basedOn w:val="TableNormal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8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table" w:styleId="TableContemporary">
    <w:name w:val="Table Contemporary"/>
    <w:basedOn w:val="TableNormal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TableColumns1">
    <w:name w:val="Table Columns 1"/>
    <w:basedOn w:val="TableNormal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nil"/>
          <w:bottom w:val="doub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3">
    <w:name w:val="Table Columns 3"/>
    <w:basedOn w:val="TableNormal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3">
    <w:name w:val="Table Grid 3"/>
    <w:basedOn w:val="TableNormal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5">
    <w:name w:val="Table Grid 5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1">
    <w:name w:val="Table Web 1"/>
    <w:basedOn w:val="TableNormal"/>
    <w:pPr>
      <w:spacing w:after="240"/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2">
    <w:name w:val="Table Web 2"/>
    <w:basedOn w:val="TableNormal"/>
    <w:pPr>
      <w:spacing w:after="240"/>
      <w:jc w:val="both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spacing w:after="240"/>
      <w:jc w:val="both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LightShading-Accent2">
    <w:name w:val="Light Shading Accent 2"/>
    <w:basedOn w:val="TableNormal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ghtShading-Accent3">
    <w:name w:val="Light Shading Accent 3"/>
    <w:basedOn w:val="TableNormal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ghtShading-Accent4">
    <w:name w:val="Light Shading Accent 4"/>
    <w:basedOn w:val="TableNormal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ghtShading-Accent5">
    <w:name w:val="Light Shading Accent 5"/>
    <w:basedOn w:val="TableNormal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Shading-Accent6">
    <w:name w:val="Light Shading Accent 6"/>
    <w:basedOn w:val="TableNormal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ghtList-Accent2">
    <w:name w:val="Light List Accent 2"/>
    <w:basedOn w:val="TableNormal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</w:style>
  <w:style w:type="table" w:styleId="LightList-Accent3">
    <w:name w:val="Light List Accent 3"/>
    <w:basedOn w:val="TableNormal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styleId="LightList-Accent4">
    <w:name w:val="Light List Accent 4"/>
    <w:basedOn w:val="TableNormal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</w:style>
  <w:style w:type="table" w:styleId="LightList-Accent5">
    <w:name w:val="Light List Accent 5"/>
    <w:basedOn w:val="TableNormal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</w:style>
  <w:style w:type="table" w:styleId="LightList-Accent6">
    <w:name w:val="Light List Accent 6"/>
    <w:basedOn w:val="TableNormal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</w:style>
  <w:style w:type="table" w:styleId="LightGrid-Accent2">
    <w:name w:val="Light Grid Accent 2"/>
    <w:basedOn w:val="TableNormal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</w:style>
  <w:style w:type="table" w:styleId="LightGrid-Accent3">
    <w:name w:val="Light Grid Accent 3"/>
    <w:basedOn w:val="TableNormal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</w:style>
  <w:style w:type="table" w:styleId="LightGrid-Accent4">
    <w:name w:val="Light Grid Accent 4"/>
    <w:basedOn w:val="TableNormal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</w:style>
  <w:style w:type="table" w:styleId="LightGrid-Accent5">
    <w:name w:val="Light Grid Accent 5"/>
    <w:basedOn w:val="TableNormal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</w:style>
  <w:style w:type="table" w:styleId="LightGrid-Accent6">
    <w:name w:val="Light Grid Accent 6"/>
    <w:basedOn w:val="TableNormal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</w:style>
  <w:style w:type="table" w:styleId="MediumShading1-Accent2">
    <w:name w:val="Medium Shading 1 Accent 2"/>
    <w:basedOn w:val="TableNormal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Shading1-Accent3">
    <w:name w:val="Medium Shading 1 Accent 3"/>
    <w:basedOn w:val="TableNormal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Shading1-Accent4">
    <w:name w:val="Medium Shading 1 Accent 4"/>
    <w:basedOn w:val="TableNormal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Shading1-Accent5">
    <w:name w:val="Medium Shading 1 Accent 5"/>
    <w:basedOn w:val="TableNormal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Shading1-Accent6">
    <w:name w:val="Medium Shading 1 Accent 6"/>
    <w:basedOn w:val="TableNormal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Shading2-Accent2">
    <w:name w:val="Medium Shading 2 Accent 2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shd w:val="clear" w:color="auto" w:fill="C0504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3">
    <w:name w:val="Medium Shading 2 Accent 3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shd w:val="clear" w:color="auto" w:fill="9BBB59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4">
    <w:name w:val="Medium Shading 2 Accent 4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shd w:val="clear" w:color="auto" w:fill="8064A2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5">
    <w:name w:val="Medium Shading 2 Accent 5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shd w:val="clear" w:color="auto" w:fill="4BACC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6">
    <w:name w:val="Medium Shading 2 Accent 6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shd w:val="clear" w:color="auto" w:fill="F7964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List1-Accent2">
    <w:name w:val="Medium List 1 Accent 2"/>
    <w:basedOn w:val="TableNormal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-Accent1">
    <w:name w:val="Medium List 2 Accent 1"/>
    <w:basedOn w:val="TableNormal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  <w:tblStylePr w:type="nwCell">
      <w:tblPr/>
      <w:tcPr>
        <w:shd w:val="clear" w:color="auto" w:fill="FFFFFF"/>
      </w:tcPr>
    </w:tblStylePr>
  </w:style>
  <w:style w:type="table" w:styleId="MediumList2-Accent2">
    <w:name w:val="Medium List 2 Accent 2"/>
    <w:basedOn w:val="TableNormal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nwCell">
      <w:tblPr/>
      <w:tcPr>
        <w:shd w:val="clear" w:color="auto" w:fill="FFFFFF"/>
      </w:tcPr>
    </w:tblStylePr>
  </w:style>
  <w:style w:type="table" w:styleId="MediumList2-Accent3">
    <w:name w:val="Medium List 2 Accent 3"/>
    <w:basedOn w:val="TableNormal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</w:style>
  <w:style w:type="table" w:styleId="MediumList2-Accent4">
    <w:name w:val="Medium List 2 Accent 4"/>
    <w:basedOn w:val="TableNormal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nwCell">
      <w:tblPr/>
      <w:tcPr>
        <w:shd w:val="clear" w:color="auto" w:fill="FFFFFF"/>
      </w:tcPr>
    </w:tblStylePr>
  </w:style>
  <w:style w:type="table" w:styleId="MediumList2-Accent5">
    <w:name w:val="Medium List 2 Accent 5"/>
    <w:basedOn w:val="TableNormal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nwCell">
      <w:tblPr/>
      <w:tcPr>
        <w:shd w:val="clear" w:color="auto" w:fill="FFFFFF"/>
      </w:tcPr>
    </w:tblStylePr>
  </w:style>
  <w:style w:type="table" w:styleId="MediumList2-Accent6">
    <w:name w:val="Medium List 2 Accent 6"/>
    <w:basedOn w:val="TableNormal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nwCell">
      <w:tblPr/>
      <w:tcPr>
        <w:shd w:val="clear" w:color="auto" w:fill="FFFFFF"/>
      </w:tcPr>
    </w:tblStylePr>
  </w:style>
  <w:style w:type="table" w:styleId="MediumGrid1-Accent1">
    <w:name w:val="Medium Grid 1 Accent 1"/>
    <w:basedOn w:val="TableNormal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-Accent1">
    <w:name w:val="Medium Grid 2 Accent 1"/>
    <w:basedOn w:val="TableNormal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F81BD"/>
          <w:insideV w:val="single" w:sz="6" w:space="0" w:color="4F81BD"/>
          <w:tl2br w:val="nil"/>
          <w:tr2bl w:val="nil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C0504D"/>
          <w:insideV w:val="single" w:sz="6" w:space="0" w:color="C0504D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9BBB59"/>
          <w:insideV w:val="single" w:sz="6" w:space="0" w:color="9BBB59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8064A2"/>
          <w:insideV w:val="single" w:sz="6" w:space="0" w:color="8064A2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BACC6"/>
          <w:insideV w:val="single" w:sz="6" w:space="0" w:color="4BACC6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F79646"/>
          <w:insideV w:val="single" w:sz="6" w:space="0" w:color="F79646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-Accent1">
    <w:name w:val="Medium Grid 3 Accent 1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FBCAA2"/>
      </w:tcPr>
    </w:tblStylePr>
  </w:style>
  <w:style w:type="table" w:styleId="DarkList-Accent1">
    <w:name w:val="Dark List Accent 1"/>
    <w:basedOn w:val="TableNormal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/>
      <w:tcPr>
        <w:shd w:val="clear" w:color="auto" w:fill="365F91"/>
      </w:tcPr>
    </w:tblStylePr>
    <w:tblStylePr w:type="band1Horz">
      <w:tblPr/>
      <w:tcPr>
        <w:shd w:val="clear" w:color="auto" w:fill="365F91"/>
      </w:tcPr>
    </w:tblStylePr>
  </w:style>
  <w:style w:type="table" w:styleId="DarkList-Accent2">
    <w:name w:val="Dark List Accent 2"/>
    <w:basedOn w:val="TableNormal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/>
      <w:tcPr>
        <w:shd w:val="clear" w:color="auto" w:fill="943634"/>
      </w:tcPr>
    </w:tblStylePr>
    <w:tblStylePr w:type="band1Horz">
      <w:tblPr/>
      <w:tcPr>
        <w:shd w:val="clear" w:color="auto" w:fill="943634"/>
      </w:tcPr>
    </w:tblStylePr>
  </w:style>
  <w:style w:type="table" w:styleId="DarkList-Accent3">
    <w:name w:val="Dark List Accent 3"/>
    <w:basedOn w:val="TableNormal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shd w:val="clear" w:color="auto" w:fill="76923C"/>
      </w:tcPr>
    </w:tblStylePr>
    <w:tblStylePr w:type="band1Horz">
      <w:tblPr/>
      <w:tcPr>
        <w:shd w:val="clear" w:color="auto" w:fill="76923C"/>
      </w:tcPr>
    </w:tblStylePr>
  </w:style>
  <w:style w:type="table" w:styleId="DarkList-Accent4">
    <w:name w:val="Dark List Accent 4"/>
    <w:basedOn w:val="TableNormal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shd w:val="clear" w:color="auto" w:fill="5F497A"/>
      </w:tcPr>
    </w:tblStylePr>
    <w:tblStylePr w:type="band1Horz">
      <w:tblPr/>
      <w:tcPr>
        <w:shd w:val="clear" w:color="auto" w:fill="5F497A"/>
      </w:tcPr>
    </w:tblStylePr>
  </w:style>
  <w:style w:type="table" w:styleId="DarkList-Accent5">
    <w:name w:val="Dark List Accent 5"/>
    <w:basedOn w:val="TableNormal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shd w:val="clear" w:color="auto" w:fill="31849B"/>
      </w:tcPr>
    </w:tblStylePr>
    <w:tblStylePr w:type="band1Horz">
      <w:tblPr/>
      <w:tcPr>
        <w:shd w:val="clear" w:color="auto" w:fill="31849B"/>
      </w:tcPr>
    </w:tblStylePr>
  </w:style>
  <w:style w:type="table" w:styleId="DarkList-Accent6">
    <w:name w:val="Dark List Accent 6"/>
    <w:basedOn w:val="TableNormal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shd w:val="clear" w:color="auto" w:fill="E36C0A"/>
      </w:tcPr>
    </w:tblStylePr>
    <w:tblStylePr w:type="band1Horz">
      <w:tblPr/>
      <w:tcPr>
        <w:shd w:val="clear" w:color="auto" w:fill="E36C0A"/>
      </w:tcPr>
    </w:tblStylePr>
  </w:style>
  <w:style w:type="table" w:styleId="ColorfulShading-Accent1">
    <w:name w:val="Colorful Shading Accent 1"/>
    <w:basedOn w:val="TableNormal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/>
      <w:tcPr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/>
      <w:tcPr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-Accent1">
    <w:name w:val="Colorful List Accent 1"/>
    <w:basedOn w:val="TableNormal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-Accent1">
    <w:name w:val="Colorful Grid Accent 1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Strong">
    <w:name w:val="Strong"/>
    <w:qFormat/>
    <w:rPr>
      <w:b/>
      <w:bCs/>
    </w:rPr>
  </w:style>
  <w:style w:type="character" w:styleId="EndnoteReference">
    <w:name w:val="endnote reference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character" w:styleId="PageNumber">
    <w:name w:val="page number"/>
    <w:rPr>
      <w:rFonts w:ascii="Times New Roman" w:eastAsia="SimSun" w:hAnsi="Times New Roman" w:cs="Simplified Arabic"/>
      <w:sz w:val="24"/>
      <w:szCs w:val="24"/>
      <w:lang w:val="en-GB" w:bidi="ar-AE"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rFonts w:ascii="Times New Roman" w:eastAsia="SimSun" w:hAnsi="Times New Roman" w:cs="Simplified Arabic"/>
      <w:sz w:val="18"/>
      <w:szCs w:val="18"/>
      <w:lang w:val="en-GB" w:bidi="ar-AE"/>
    </w:rPr>
  </w:style>
  <w:style w:type="character" w:styleId="FootnoteReference">
    <w:name w:val="footnote reference"/>
    <w:rPr>
      <w:rFonts w:ascii="Times New Roman" w:eastAsia="SimSun" w:hAnsi="Times New Roman" w:cs="Simplified Arabic"/>
      <w:sz w:val="18"/>
      <w:szCs w:val="18"/>
      <w:vertAlign w:val="superscript"/>
      <w:lang w:bidi="ar-AE"/>
    </w:rPr>
  </w:style>
  <w:style w:type="paragraph" w:customStyle="1" w:styleId="BodyText1">
    <w:name w:val="Body Text 1"/>
    <w:basedOn w:val="Normal"/>
    <w:pPr>
      <w:ind w:left="720"/>
    </w:pPr>
    <w:rPr>
      <w:lang w:eastAsia="en-GB"/>
    </w:rPr>
  </w:style>
  <w:style w:type="paragraph" w:customStyle="1" w:styleId="BodyText4">
    <w:name w:val="Body Text 4"/>
    <w:basedOn w:val="Normal"/>
    <w:pPr>
      <w:ind w:left="2880"/>
    </w:pPr>
    <w:rPr>
      <w:lang w:eastAsia="en-GB"/>
    </w:rPr>
  </w:style>
  <w:style w:type="paragraph" w:customStyle="1" w:styleId="BodyText5">
    <w:name w:val="Body Text 5"/>
    <w:basedOn w:val="Normal"/>
    <w:pPr>
      <w:ind w:left="3600"/>
    </w:pPr>
    <w:rPr>
      <w:lang w:eastAsia="en-GB"/>
    </w:rPr>
  </w:style>
  <w:style w:type="paragraph" w:customStyle="1" w:styleId="BodyText6">
    <w:name w:val="Body Text 6"/>
    <w:basedOn w:val="Normal"/>
    <w:pPr>
      <w:ind w:left="4320"/>
    </w:pPr>
    <w:rPr>
      <w:lang w:eastAsia="en-GB"/>
    </w:rPr>
  </w:style>
  <w:style w:type="paragraph" w:customStyle="1" w:styleId="BodyText7">
    <w:name w:val="Body Text 7"/>
    <w:basedOn w:val="Normal"/>
    <w:pPr>
      <w:ind w:left="5041"/>
    </w:pPr>
    <w:rPr>
      <w:lang w:eastAsia="en-GB"/>
    </w:rPr>
  </w:style>
  <w:style w:type="paragraph" w:customStyle="1" w:styleId="FooterRight">
    <w:name w:val="Footer Right"/>
    <w:basedOn w:val="Footer"/>
    <w:pPr>
      <w:jc w:val="right"/>
    </w:pPr>
  </w:style>
  <w:style w:type="paragraph" w:customStyle="1" w:styleId="Footnote">
    <w:name w:val="Footnote"/>
    <w:basedOn w:val="FootnoteText"/>
    <w:pPr>
      <w:tabs>
        <w:tab w:val="left" w:pos="340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basedOn w:val="Normal"/>
    <w:qFormat/>
    <w:pPr>
      <w:spacing w:after="0"/>
    </w:pPr>
  </w:style>
  <w:style w:type="paragraph" w:customStyle="1" w:styleId="NormalBold">
    <w:name w:val="NormalBold"/>
    <w:basedOn w:val="Normal"/>
    <w:next w:val="Normal"/>
    <w:rPr>
      <w:b/>
      <w:bCs/>
    </w:rPr>
  </w:style>
  <w:style w:type="paragraph" w:customStyle="1" w:styleId="NormalBoldNS">
    <w:name w:val="NormalBoldNS"/>
    <w:basedOn w:val="Normal"/>
    <w:next w:val="Normal"/>
    <w:pPr>
      <w:spacing w:after="0"/>
      <w:jc w:val="left"/>
    </w:pPr>
    <w:rPr>
      <w:b/>
      <w:bCs/>
    </w:rPr>
  </w:style>
  <w:style w:type="paragraph" w:customStyle="1" w:styleId="NormalNS">
    <w:name w:val="NormalNS"/>
    <w:basedOn w:val="Normal"/>
    <w:pPr>
      <w:spacing w:after="0"/>
    </w:pPr>
  </w:style>
  <w:style w:type="paragraph" w:customStyle="1" w:styleId="NormalRight">
    <w:name w:val="NormalRight"/>
    <w:basedOn w:val="NormalNS"/>
    <w:pPr>
      <w:jc w:val="right"/>
    </w:pPr>
  </w:style>
  <w:style w:type="paragraph" w:customStyle="1" w:styleId="NoteContinuation">
    <w:name w:val="Note Continuation"/>
    <w:basedOn w:val="Normal"/>
    <w:pPr>
      <w:spacing w:after="120"/>
      <w:ind w:left="340"/>
    </w:pPr>
    <w:rPr>
      <w:sz w:val="20"/>
      <w:szCs w:val="20"/>
    </w:rPr>
  </w:style>
  <w:style w:type="paragraph" w:styleId="TOCHeading">
    <w:name w:val="TOC Heading"/>
    <w:basedOn w:val="Normal"/>
    <w:next w:val="Normal"/>
    <w:qFormat/>
    <w:pPr>
      <w:jc w:val="center"/>
    </w:pPr>
    <w:rPr>
      <w:b/>
      <w:bCs/>
      <w:caps/>
    </w:rPr>
  </w:style>
  <w:style w:type="paragraph" w:customStyle="1" w:styleId="BGHStandard">
    <w:name w:val="BGH Standard"/>
    <w:basedOn w:val="Normal"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pPr>
      <w:spacing w:after="240"/>
    </w:pPr>
  </w:style>
  <w:style w:type="paragraph" w:customStyle="1" w:styleId="SubTitle0">
    <w:name w:val="SubTitle0"/>
    <w:basedOn w:val="Subtitle"/>
    <w:pPr>
      <w:spacing w:after="0"/>
    </w:pPr>
  </w:style>
  <w:style w:type="paragraph" w:customStyle="1" w:styleId="OptionLabel">
    <w:name w:val="OptionLabel"/>
    <w:rPr>
      <w:b/>
      <w:bCs/>
      <w:sz w:val="24"/>
      <w:szCs w:val="24"/>
      <w:lang w:val="en-GB" w:bidi="ar-AE"/>
    </w:rPr>
  </w:style>
  <w:style w:type="paragraph" w:customStyle="1" w:styleId="NormalLeft">
    <w:name w:val="NormalLeft"/>
    <w:basedOn w:val="Normal"/>
    <w:next w:val="Normal"/>
    <w:pPr>
      <w:jc w:val="left"/>
    </w:pPr>
  </w:style>
  <w:style w:type="paragraph" w:styleId="Bibliography">
    <w:name w:val="Bibliography"/>
    <w:basedOn w:val="Normal"/>
    <w:next w:val="Normal"/>
  </w:style>
  <w:style w:type="table" w:customStyle="1" w:styleId="ColorfulGrid1">
    <w:name w:val="Colorful Grid1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List1">
    <w:name w:val="Colorful List1"/>
    <w:basedOn w:val="TableNormal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Shading1">
    <w:name w:val="Colorful Shading1"/>
    <w:basedOn w:val="TableNormal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TableNormal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shd w:val="clear" w:color="auto" w:fill="000000"/>
      </w:tcPr>
    </w:tblStylePr>
    <w:tblStylePr w:type="band1Horz">
      <w:tblPr/>
      <w:tcPr>
        <w:shd w:val="clear" w:color="auto" w:fill="000000"/>
      </w:tcPr>
    </w:tblStylePr>
  </w:style>
  <w:style w:type="paragraph" w:styleId="IntenseQuote">
    <w:name w:val="Intense Quote"/>
    <w:basedOn w:val="Normal"/>
    <w:next w:val="Normal"/>
    <w:link w:val="IntenseQuoteChar"/>
    <w:qFormat/>
    <w:pPr>
      <w:pBdr>
        <w:bottom w:val="single" w:sz="4" w:space="4" w:color="4F81BD"/>
      </w:pBdr>
      <w:spacing w:before="200" w:after="280"/>
      <w:ind w:left="936" w:right="936"/>
    </w:pPr>
    <w:rPr>
      <w:rFonts w:cs="Simplified Arabic"/>
      <w:b/>
      <w:bCs/>
      <w:i/>
      <w:iCs/>
      <w:color w:val="4F81BD"/>
    </w:rPr>
  </w:style>
  <w:style w:type="character" w:customStyle="1" w:styleId="IntenseQuoteChar">
    <w:name w:val="Intense Quote Char"/>
    <w:link w:val="IntenseQuote"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TableNormal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</w:style>
  <w:style w:type="table" w:customStyle="1" w:styleId="LightGrid-Accent11">
    <w:name w:val="Light Grid - Accent 11"/>
    <w:basedOn w:val="TableNormal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</w:style>
  <w:style w:type="table" w:customStyle="1" w:styleId="LightList1">
    <w:name w:val="Light List1"/>
    <w:basedOn w:val="TableNormal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11">
    <w:name w:val="Light List - Accent 11"/>
    <w:basedOn w:val="TableNormal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</w:style>
  <w:style w:type="table" w:customStyle="1" w:styleId="LightShading1">
    <w:name w:val="Light Shading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Grid11">
    <w:name w:val="Medium Grid 11"/>
    <w:basedOn w:val="TableNormal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21">
    <w:name w:val="Medium Grid 2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808080"/>
      </w:tcPr>
    </w:tblStylePr>
  </w:style>
  <w:style w:type="table" w:customStyle="1" w:styleId="MediumList11">
    <w:name w:val="Medium List 1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21">
    <w:name w:val="Medium List 2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Shading11">
    <w:name w:val="Medium Shading 11"/>
    <w:basedOn w:val="TableNormal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Shading1-Accent11">
    <w:name w:val="Medium Shading 1 - Accent 11"/>
    <w:basedOn w:val="TableNormal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Shading21">
    <w:name w:val="Medium Shading 21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ediumShading2-Accent11">
    <w:name w:val="Medium Shading 2 - Accent 11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shd w:val="clear" w:color="auto" w:fill="4F81B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Quote">
    <w:name w:val="Quote"/>
    <w:basedOn w:val="Normal"/>
    <w:next w:val="Normal"/>
    <w:link w:val="QuoteChar"/>
    <w:qFormat/>
    <w:rPr>
      <w:rFonts w:cs="Simplified Arabic"/>
      <w:i/>
      <w:iCs/>
      <w:color w:val="000000"/>
    </w:rPr>
  </w:style>
  <w:style w:type="character" w:customStyle="1" w:styleId="QuoteChar">
    <w:name w:val="Quote Char"/>
    <w:link w:val="Quote"/>
    <w:rPr>
      <w:i/>
      <w:iCs/>
      <w:color w:val="000000"/>
      <w:sz w:val="24"/>
      <w:szCs w:val="24"/>
      <w:lang w:bidi="ar-AE"/>
    </w:rPr>
  </w:style>
  <w:style w:type="paragraph" w:customStyle="1" w:styleId="StandardL9">
    <w:name w:val="Standard L9"/>
    <w:basedOn w:val="Normal"/>
    <w:next w:val="BodyText3"/>
    <w:link w:val="StandardL9Char"/>
    <w:pPr>
      <w:tabs>
        <w:tab w:val="left" w:pos="2160"/>
      </w:tabs>
      <w:ind w:left="2160" w:hanging="720"/>
      <w:outlineLvl w:val="8"/>
    </w:pPr>
    <w:rPr>
      <w:rFonts w:cs="Simplified Arabic"/>
    </w:rPr>
  </w:style>
  <w:style w:type="character" w:customStyle="1" w:styleId="StandardL9Char">
    <w:name w:val="Standard L9 Char"/>
    <w:link w:val="StandardL9"/>
    <w:rPr>
      <w:rFonts w:cs="Simplified Arabic"/>
      <w:sz w:val="24"/>
      <w:szCs w:val="24"/>
      <w:lang w:val="en-GB" w:bidi="ar-AE"/>
    </w:rPr>
  </w:style>
  <w:style w:type="paragraph" w:customStyle="1" w:styleId="StandardL8">
    <w:name w:val="Standard L8"/>
    <w:basedOn w:val="Normal"/>
    <w:next w:val="BodyText2"/>
    <w:link w:val="StandardL8Char"/>
    <w:pPr>
      <w:tabs>
        <w:tab w:val="left" w:pos="1440"/>
      </w:tabs>
      <w:ind w:left="1440" w:hanging="720"/>
      <w:outlineLvl w:val="7"/>
    </w:pPr>
    <w:rPr>
      <w:rFonts w:cs="Simplified Arabic"/>
    </w:rPr>
  </w:style>
  <w:style w:type="character" w:customStyle="1" w:styleId="StandardL8Char">
    <w:name w:val="Standard L8 Char"/>
    <w:link w:val="StandardL8"/>
    <w:rPr>
      <w:rFonts w:cs="Simplified Arabic"/>
      <w:sz w:val="24"/>
      <w:szCs w:val="24"/>
      <w:lang w:val="en-GB" w:bidi="ar-AE"/>
    </w:rPr>
  </w:style>
  <w:style w:type="paragraph" w:customStyle="1" w:styleId="StandardL7">
    <w:name w:val="Standard L7"/>
    <w:basedOn w:val="Normal"/>
    <w:next w:val="BodyText6"/>
    <w:link w:val="StandardL7Char"/>
    <w:pPr>
      <w:tabs>
        <w:tab w:val="left" w:pos="4320"/>
      </w:tabs>
      <w:ind w:left="4321" w:hanging="721"/>
      <w:outlineLvl w:val="6"/>
    </w:pPr>
    <w:rPr>
      <w:rFonts w:cs="Simplified Arabic"/>
    </w:rPr>
  </w:style>
  <w:style w:type="character" w:customStyle="1" w:styleId="StandardL7Char">
    <w:name w:val="Standard L7 Char"/>
    <w:link w:val="StandardL7"/>
    <w:rPr>
      <w:rFonts w:cs="Simplified Arabic"/>
      <w:sz w:val="24"/>
      <w:szCs w:val="24"/>
      <w:lang w:val="en-GB" w:bidi="ar-AE"/>
    </w:rPr>
  </w:style>
  <w:style w:type="paragraph" w:customStyle="1" w:styleId="StandardL6">
    <w:name w:val="Standard L6"/>
    <w:basedOn w:val="Normal"/>
    <w:next w:val="BodyText5"/>
    <w:link w:val="StandardL6Char"/>
    <w:pPr>
      <w:tabs>
        <w:tab w:val="left" w:pos="3600"/>
      </w:tabs>
      <w:ind w:left="3600" w:hanging="720"/>
      <w:outlineLvl w:val="5"/>
    </w:pPr>
    <w:rPr>
      <w:rFonts w:cs="Simplified Arabic"/>
    </w:rPr>
  </w:style>
  <w:style w:type="character" w:customStyle="1" w:styleId="StandardL6Char">
    <w:name w:val="Standard L6 Char"/>
    <w:link w:val="StandardL6"/>
    <w:rPr>
      <w:rFonts w:cs="Simplified Arabic"/>
      <w:sz w:val="24"/>
      <w:szCs w:val="24"/>
      <w:lang w:val="en-GB" w:bidi="ar-AE"/>
    </w:rPr>
  </w:style>
  <w:style w:type="paragraph" w:customStyle="1" w:styleId="StandardL5">
    <w:name w:val="Standard L5"/>
    <w:basedOn w:val="Normal"/>
    <w:next w:val="BodyText4"/>
    <w:link w:val="StandardL5Char"/>
    <w:pPr>
      <w:tabs>
        <w:tab w:val="left" w:pos="2880"/>
      </w:tabs>
      <w:ind w:left="2880" w:hanging="720"/>
      <w:outlineLvl w:val="4"/>
    </w:pPr>
    <w:rPr>
      <w:rFonts w:cs="Simplified Arabic"/>
    </w:rPr>
  </w:style>
  <w:style w:type="character" w:customStyle="1" w:styleId="StandardL5Char">
    <w:name w:val="Standard L5 Char"/>
    <w:link w:val="StandardL5"/>
    <w:rPr>
      <w:rFonts w:cs="Simplified Arabic"/>
      <w:sz w:val="24"/>
      <w:szCs w:val="24"/>
      <w:lang w:val="en-GB" w:bidi="ar-AE"/>
    </w:rPr>
  </w:style>
  <w:style w:type="paragraph" w:customStyle="1" w:styleId="BulletL9">
    <w:name w:val="Bullet L9"/>
    <w:basedOn w:val="Normal"/>
    <w:link w:val="BulletL9Char"/>
    <w:pPr>
      <w:tabs>
        <w:tab w:val="left" w:pos="0"/>
      </w:tabs>
      <w:ind w:left="1"/>
      <w:outlineLvl w:val="8"/>
    </w:pPr>
    <w:rPr>
      <w:rFonts w:cs="Simplified Arabic"/>
    </w:rPr>
  </w:style>
  <w:style w:type="character" w:customStyle="1" w:styleId="BulletL9Char">
    <w:name w:val="Bullet L9 Char"/>
    <w:link w:val="BulletL9"/>
    <w:rPr>
      <w:rFonts w:cs="Simplified Arabic"/>
      <w:sz w:val="24"/>
      <w:szCs w:val="24"/>
      <w:lang w:val="en-GB" w:bidi="ar-AE"/>
    </w:rPr>
  </w:style>
  <w:style w:type="paragraph" w:customStyle="1" w:styleId="BulletL8">
    <w:name w:val="Bullet L8"/>
    <w:basedOn w:val="Normal"/>
    <w:link w:val="BulletL8Char"/>
    <w:pPr>
      <w:tabs>
        <w:tab w:val="left" w:pos="0"/>
      </w:tabs>
      <w:ind w:left="1"/>
      <w:outlineLvl w:val="7"/>
    </w:pPr>
    <w:rPr>
      <w:rFonts w:cs="Simplified Arabic"/>
    </w:rPr>
  </w:style>
  <w:style w:type="character" w:customStyle="1" w:styleId="BulletL8Char">
    <w:name w:val="Bullet L8 Char"/>
    <w:link w:val="BulletL8"/>
    <w:rPr>
      <w:rFonts w:cs="Simplified Arabic"/>
      <w:sz w:val="24"/>
      <w:szCs w:val="24"/>
      <w:lang w:val="en-GB" w:bidi="ar-AE"/>
    </w:rPr>
  </w:style>
  <w:style w:type="paragraph" w:customStyle="1" w:styleId="BulletL7">
    <w:name w:val="Bullet L7"/>
    <w:basedOn w:val="Normal"/>
    <w:link w:val="BulletL7Char"/>
    <w:pPr>
      <w:tabs>
        <w:tab w:val="left" w:pos="5040"/>
      </w:tabs>
      <w:ind w:left="5041" w:hanging="720"/>
      <w:outlineLvl w:val="6"/>
    </w:pPr>
    <w:rPr>
      <w:rFonts w:cs="Simplified Arabic"/>
    </w:rPr>
  </w:style>
  <w:style w:type="character" w:customStyle="1" w:styleId="BulletL7Char">
    <w:name w:val="Bullet L7 Char"/>
    <w:link w:val="BulletL7"/>
    <w:rPr>
      <w:rFonts w:cs="Simplified Arabic"/>
      <w:sz w:val="24"/>
      <w:szCs w:val="24"/>
      <w:lang w:val="en-GB" w:bidi="ar-AE"/>
    </w:rPr>
  </w:style>
  <w:style w:type="paragraph" w:customStyle="1" w:styleId="BulletL6">
    <w:name w:val="Bullet L6"/>
    <w:basedOn w:val="Normal"/>
    <w:link w:val="BulletL6Char"/>
    <w:pPr>
      <w:tabs>
        <w:tab w:val="left" w:pos="4320"/>
      </w:tabs>
      <w:ind w:left="4321" w:hanging="720"/>
      <w:outlineLvl w:val="5"/>
    </w:pPr>
    <w:rPr>
      <w:rFonts w:cs="Simplified Arabic"/>
    </w:rPr>
  </w:style>
  <w:style w:type="character" w:customStyle="1" w:styleId="BulletL6Char">
    <w:name w:val="Bullet L6 Char"/>
    <w:link w:val="BulletL6"/>
    <w:rPr>
      <w:rFonts w:cs="Simplified Arabic"/>
      <w:sz w:val="24"/>
      <w:szCs w:val="24"/>
      <w:lang w:val="en-GB" w:bidi="ar-AE"/>
    </w:rPr>
  </w:style>
  <w:style w:type="paragraph" w:customStyle="1" w:styleId="BulletL5">
    <w:name w:val="Bullet L5"/>
    <w:basedOn w:val="Normal"/>
    <w:link w:val="BulletL5Char"/>
    <w:pPr>
      <w:tabs>
        <w:tab w:val="left" w:pos="3600"/>
      </w:tabs>
      <w:ind w:left="3601" w:hanging="720"/>
      <w:outlineLvl w:val="4"/>
    </w:pPr>
    <w:rPr>
      <w:rFonts w:cs="Simplified Arabic"/>
    </w:rPr>
  </w:style>
  <w:style w:type="character" w:customStyle="1" w:styleId="BulletL5Char">
    <w:name w:val="Bullet L5 Char"/>
    <w:link w:val="BulletL5"/>
    <w:rPr>
      <w:rFonts w:cs="Simplified Arabic"/>
      <w:sz w:val="24"/>
      <w:szCs w:val="24"/>
      <w:lang w:val="en-GB" w:bidi="ar-AE"/>
    </w:rPr>
  </w:style>
  <w:style w:type="paragraph" w:customStyle="1" w:styleId="BulletL4">
    <w:name w:val="Bullet L4"/>
    <w:basedOn w:val="Normal"/>
    <w:link w:val="BulletL4Char"/>
    <w:pPr>
      <w:tabs>
        <w:tab w:val="left" w:pos="2880"/>
      </w:tabs>
      <w:ind w:left="2881" w:hanging="720"/>
      <w:outlineLvl w:val="3"/>
    </w:pPr>
    <w:rPr>
      <w:rFonts w:cs="Simplified Arabic"/>
    </w:rPr>
  </w:style>
  <w:style w:type="character" w:customStyle="1" w:styleId="BulletL4Char">
    <w:name w:val="Bullet L4 Char"/>
    <w:link w:val="BulletL4"/>
    <w:rPr>
      <w:rFonts w:cs="Simplified Arabic"/>
      <w:sz w:val="24"/>
      <w:szCs w:val="24"/>
      <w:lang w:val="en-GB" w:bidi="ar-AE"/>
    </w:rPr>
  </w:style>
  <w:style w:type="paragraph" w:customStyle="1" w:styleId="BulletL3">
    <w:name w:val="Bullet L3"/>
    <w:basedOn w:val="Normal"/>
    <w:link w:val="BulletL3Char"/>
    <w:pPr>
      <w:tabs>
        <w:tab w:val="left" w:pos="2160"/>
      </w:tabs>
      <w:ind w:left="2161" w:hanging="720"/>
      <w:outlineLvl w:val="2"/>
    </w:pPr>
    <w:rPr>
      <w:rFonts w:cs="Simplified Arabic"/>
    </w:rPr>
  </w:style>
  <w:style w:type="character" w:customStyle="1" w:styleId="BulletL3Char">
    <w:name w:val="Bullet L3 Char"/>
    <w:link w:val="BulletL3"/>
    <w:rPr>
      <w:rFonts w:cs="Simplified Arabic"/>
      <w:sz w:val="24"/>
      <w:szCs w:val="24"/>
      <w:lang w:val="en-GB" w:bidi="ar-AE"/>
    </w:rPr>
  </w:style>
  <w:style w:type="paragraph" w:customStyle="1" w:styleId="BulletL2">
    <w:name w:val="Bullet L2"/>
    <w:basedOn w:val="Normal"/>
    <w:link w:val="BulletL2Char"/>
    <w:pPr>
      <w:tabs>
        <w:tab w:val="left" w:pos="1440"/>
      </w:tabs>
      <w:ind w:left="1441" w:hanging="720"/>
      <w:outlineLvl w:val="1"/>
    </w:pPr>
    <w:rPr>
      <w:rFonts w:cs="Simplified Arabic"/>
    </w:rPr>
  </w:style>
  <w:style w:type="character" w:customStyle="1" w:styleId="BulletL2Char">
    <w:name w:val="Bullet L2 Char"/>
    <w:link w:val="BulletL2"/>
    <w:rPr>
      <w:rFonts w:cs="Simplified Arabic"/>
      <w:sz w:val="24"/>
      <w:szCs w:val="24"/>
      <w:lang w:val="en-GB" w:bidi="ar-AE"/>
    </w:rPr>
  </w:style>
  <w:style w:type="paragraph" w:customStyle="1" w:styleId="BulletL1">
    <w:name w:val="Bullet L1"/>
    <w:basedOn w:val="Normal"/>
    <w:link w:val="BulletL1Char"/>
    <w:pPr>
      <w:tabs>
        <w:tab w:val="left" w:pos="720"/>
      </w:tabs>
      <w:ind w:left="721" w:hanging="720"/>
      <w:outlineLvl w:val="0"/>
    </w:pPr>
    <w:rPr>
      <w:rFonts w:cs="Simplified Arabic"/>
    </w:rPr>
  </w:style>
  <w:style w:type="character" w:customStyle="1" w:styleId="BulletL1Char">
    <w:name w:val="Bullet L1 Char"/>
    <w:link w:val="BulletL1"/>
    <w:rPr>
      <w:rFonts w:cs="Simplified Arabic"/>
      <w:sz w:val="24"/>
      <w:szCs w:val="24"/>
      <w:lang w:val="en-GB" w:bidi="ar-AE"/>
    </w:rPr>
  </w:style>
  <w:style w:type="paragraph" w:customStyle="1" w:styleId="StandardL4">
    <w:name w:val="Standard L4"/>
    <w:basedOn w:val="Normal"/>
    <w:next w:val="BodyText3"/>
    <w:link w:val="StandardL4Char"/>
    <w:pPr>
      <w:tabs>
        <w:tab w:val="left" w:pos="2160"/>
      </w:tabs>
      <w:ind w:left="2160" w:hanging="720"/>
      <w:outlineLvl w:val="3"/>
    </w:pPr>
    <w:rPr>
      <w:rFonts w:cs="Simplified Arabic"/>
    </w:rPr>
  </w:style>
  <w:style w:type="character" w:customStyle="1" w:styleId="StandardL4Char">
    <w:name w:val="Standard L4 Char"/>
    <w:link w:val="StandardL4"/>
    <w:rPr>
      <w:rFonts w:cs="Simplified Arabic"/>
      <w:sz w:val="24"/>
      <w:szCs w:val="24"/>
      <w:lang w:val="en-GB" w:bidi="ar-AE"/>
    </w:rPr>
  </w:style>
  <w:style w:type="paragraph" w:customStyle="1" w:styleId="StandardL3">
    <w:name w:val="Standard L3"/>
    <w:basedOn w:val="Normal"/>
    <w:next w:val="BodyText2"/>
    <w:link w:val="StandardL3Char"/>
    <w:pPr>
      <w:tabs>
        <w:tab w:val="left" w:pos="1440"/>
      </w:tabs>
      <w:ind w:left="1440" w:hanging="720"/>
      <w:outlineLvl w:val="2"/>
    </w:pPr>
    <w:rPr>
      <w:rFonts w:cs="Simplified Arabic"/>
    </w:rPr>
  </w:style>
  <w:style w:type="character" w:customStyle="1" w:styleId="StandardL3Char">
    <w:name w:val="Standard L3 Char"/>
    <w:link w:val="StandardL3"/>
    <w:rPr>
      <w:rFonts w:cs="Simplified Arabic"/>
      <w:sz w:val="24"/>
      <w:szCs w:val="24"/>
      <w:lang w:val="en-GB" w:bidi="ar-AE"/>
    </w:rPr>
  </w:style>
  <w:style w:type="paragraph" w:customStyle="1" w:styleId="StandardL2">
    <w:name w:val="Standard L2"/>
    <w:basedOn w:val="Normal"/>
    <w:next w:val="BodyText1"/>
    <w:link w:val="StandardL2Char"/>
    <w:pPr>
      <w:tabs>
        <w:tab w:val="left" w:pos="720"/>
      </w:tabs>
      <w:ind w:left="720" w:hanging="720"/>
      <w:outlineLvl w:val="1"/>
    </w:pPr>
    <w:rPr>
      <w:rFonts w:cs="Simplified Arabic"/>
    </w:rPr>
  </w:style>
  <w:style w:type="character" w:customStyle="1" w:styleId="StandardL2Char">
    <w:name w:val="Standard L2 Char"/>
    <w:link w:val="StandardL2"/>
    <w:rPr>
      <w:rFonts w:cs="Simplified Arabic"/>
      <w:sz w:val="24"/>
      <w:szCs w:val="24"/>
      <w:lang w:val="en-GB" w:bidi="ar-AE"/>
    </w:rPr>
  </w:style>
  <w:style w:type="paragraph" w:customStyle="1" w:styleId="StandardL1">
    <w:name w:val="Standard L1"/>
    <w:basedOn w:val="Normal"/>
    <w:next w:val="BodyText1"/>
    <w:link w:val="StandardL1Char"/>
    <w:pPr>
      <w:keepNext/>
      <w:tabs>
        <w:tab w:val="left" w:pos="720"/>
      </w:tabs>
      <w:suppressAutoHyphens/>
      <w:ind w:left="720" w:hanging="720"/>
      <w:jc w:val="left"/>
      <w:outlineLvl w:val="0"/>
    </w:pPr>
    <w:rPr>
      <w:rFonts w:cs="Simplified Arabic"/>
      <w:b/>
      <w:caps/>
    </w:rPr>
  </w:style>
  <w:style w:type="character" w:customStyle="1" w:styleId="StandardL1Char">
    <w:name w:val="Standard L1 Char"/>
    <w:link w:val="StandardL1"/>
    <w:rPr>
      <w:rFonts w:cs="Simplified Arabic"/>
      <w:b/>
      <w:caps/>
      <w:sz w:val="24"/>
      <w:szCs w:val="24"/>
      <w:lang w:val="en-GB" w:bidi="ar-AE"/>
    </w:rPr>
  </w:style>
  <w:style w:type="paragraph" w:customStyle="1" w:styleId="Bullet1">
    <w:name w:val="Bullet 1"/>
    <w:qFormat/>
    <w:pPr>
      <w:spacing w:before="240" w:line="260" w:lineRule="atLeast"/>
      <w:jc w:val="both"/>
    </w:pPr>
    <w:rPr>
      <w:rFonts w:eastAsia="Calibri"/>
      <w:sz w:val="22"/>
      <w:szCs w:val="22"/>
      <w:lang w:val="en-GB" w:eastAsia="en-US"/>
    </w:rPr>
  </w:style>
  <w:style w:type="paragraph" w:customStyle="1" w:styleId="NormalLeft0">
    <w:name w:val="Normal + Left"/>
    <w:basedOn w:val="Bullet1"/>
    <w:pPr>
      <w:spacing w:before="0"/>
      <w:ind w:left="644" w:hanging="360"/>
    </w:pPr>
    <w:rPr>
      <w:rFonts w:eastAsia="FangSong_GB2312"/>
      <w:bCs/>
      <w:sz w:val="21"/>
      <w:szCs w:val="21"/>
    </w:rPr>
  </w:style>
  <w:style w:type="paragraph" w:styleId="Revision">
    <w:name w:val="Revision"/>
    <w:hidden/>
    <w:uiPriority w:val="99"/>
    <w:unhideWhenUsed/>
    <w:rsid w:val="009A2B23"/>
    <w:rPr>
      <w:sz w:val="24"/>
      <w:szCs w:val="24"/>
      <w:lang w:val="en-GB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2025-04-29T06:32:00Z</dcterms:created>
  <dcterms:modified xsi:type="dcterms:W3CDTF">2025-04-29T06:32:00Z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Client Code">
    <vt:lpwstr xmlns:vt="http://schemas.openxmlformats.org/officeDocument/2006/docPropsVTypes">10426367</vt:lpwstr>
  </op:property>
  <op:property fmtid="{D5CDD505-2E9C-101B-9397-08002B2CF9AE}" pid="3" name="Matter Number">
    <vt:lpwstr xmlns:vt="http://schemas.openxmlformats.org/officeDocument/2006/docPropsVTypes">L-353340</vt:lpwstr>
  </op:property>
</op:Properties>
</file>